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HD-20261015-001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JINXUN_TEST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HP</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Triển khai phần mềm và thiết bị IoT,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0 VND (零越盾整)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0 VND ( Không đồng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30%, 即 0 VND (零越盾整)，雙方簽約後即期以電匯（T/T）方式支付。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30% giá trị hợp đồng (0 VND – Không đồng.)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0 VND (零越盾整)，於設備安裝及系統建置完成並經雙方簽署確認文件後。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Bàn giao &amp; cài đặt hệ thống: Thanh toán 55% giá trị hợp đồng (0 VND – Không đồng.)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15%, 即 0 VND (零越盾整)，於最終驗收（FAC）完成並簽署驗收交付文件後。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cuối cùng (FAC): Thanh toán 15% giá trị hợp đồng (0 VND – Không đồng.) kể từ ngày ký biên bản nghiệm thu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JINXUN_TEST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