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hint="eastAsia"/>
          <w:b/>
          <w:sz w:val="24"/>
          <w:szCs w:val="24"/>
          <w:lang w:eastAsia="zh-TW"/>
        </w:rPr>
      </w:pPr>
      <w:r/>
      <w:r>
        <w:rPr>
          <w:rFonts w:ascii="Times New Roman" w:hAnsi="Times New Roman"/>
          <w:b/>
          <w:sz w:val="24"/>
        </w:rPr>
        <w:t>Số HĐ /合約編號: HMV131020260001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hint="eastAsia"/>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JINXUN 金迅廠區 MES Lite 系統建置報價單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cho nhà máy JINXUN (JINXUN 金迅廠區 MES Lite 系統建置報價單),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hint="eastAsia"/>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5" w:type="dxa"/>
            <w:vAlign w:val="center"/>
            <w:hideMark/>
          </w:tcPr>
          <w:p>
            <w:pPr>
              <w:jc w:val="right"/>
            </w:pPr>
            <w:r/>
            <w:r>
              <w:rPr>
                <w:rFonts w:ascii="Times New Roman" w:hAnsi="Times New Roman"/>
                <w:b w:val="0"/>
                <w:sz w:val="20"/>
              </w:rPr>
              <w:t>185.000.000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185.000.000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Phần mềm quản lý sản xuất MES Pro (bản quyền 30 máy)</w:t>
            </w:r>
            <w:r>
              <w:br/>
            </w:r>
            <w:r>
              <w:rPr>
                <w:rFonts w:ascii="Times New Roman" w:hAnsi="Times New Roman"/>
                <w:b w:val="0"/>
                <w:sz w:val="20"/>
              </w:rPr>
              <w:t>MES Pro 生產管理軟體（30台設備授權版）</w:t>
            </w:r>
          </w:p>
        </w:tc>
        <w:tc>
          <w:tcPr>
            <w:tcW w:w="1985" w:type="dxa"/>
            <w:vAlign w:val="center"/>
            <w:hideMark/>
          </w:tcPr>
          <w:p>
            <w:pPr>
              <w:jc w:val="right"/>
            </w:pPr>
            <w:r/>
            <w:r>
              <w:rPr>
                <w:rFonts w:ascii="Times New Roman" w:hAnsi="Times New Roman"/>
                <w:b w:val="0"/>
                <w:sz w:val="20"/>
              </w:rPr>
              <w:t>420.000.000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420.000.000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Gói tích hợp API kết nối ERP</w:t>
            </w:r>
            <w:r>
              <w:br/>
            </w:r>
            <w:r>
              <w:rPr>
                <w:rFonts w:ascii="Times New Roman" w:hAnsi="Times New Roman"/>
                <w:b w:val="0"/>
                <w:sz w:val="20"/>
              </w:rPr>
              <w:t>ERP 系統 API 整合服務</w:t>
            </w:r>
          </w:p>
        </w:tc>
        <w:tc>
          <w:tcPr>
            <w:tcW w:w="1985" w:type="dxa"/>
            <w:vAlign w:val="center"/>
            <w:hideMark/>
          </w:tcPr>
          <w:p>
            <w:pPr>
              <w:jc w:val="right"/>
            </w:pPr>
            <w:r/>
            <w:r>
              <w:rPr>
                <w:rFonts w:ascii="Times New Roman" w:hAnsi="Times New Roman"/>
                <w:b w:val="0"/>
                <w:sz w:val="20"/>
              </w:rPr>
              <w:t>95.000.000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95.000.000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4</w:t>
            </w:r>
          </w:p>
        </w:tc>
        <w:tc>
          <w:tcPr>
            <w:tcW w:w="3656" w:type="dxa"/>
            <w:vAlign w:val="center"/>
            <w:hideMark/>
          </w:tcPr>
          <w:p>
            <w:pPr>
              <w:jc w:val="left"/>
            </w:pPr>
            <w:r/>
            <w:r>
              <w:rPr>
                <w:rFonts w:ascii="Times New Roman" w:hAnsi="Times New Roman"/>
                <w:b w:val="0"/>
                <w:sz w:val="20"/>
              </w:rPr>
              <w:t>Thiết bị thu thập dữ liệu IoT công nghiệp</w:t>
            </w:r>
            <w:r>
              <w:br/>
            </w:r>
            <w:r>
              <w:rPr>
                <w:rFonts w:ascii="Times New Roman" w:hAnsi="Times New Roman"/>
                <w:b w:val="0"/>
                <w:sz w:val="20"/>
              </w:rPr>
              <w:t>工業物聯網數據採集設備</w:t>
            </w:r>
          </w:p>
        </w:tc>
        <w:tc>
          <w:tcPr>
            <w:tcW w:w="1985" w:type="dxa"/>
            <w:vAlign w:val="center"/>
            <w:hideMark/>
          </w:tcPr>
          <w:p>
            <w:pPr>
              <w:jc w:val="right"/>
            </w:pPr>
            <w:r/>
            <w:r>
              <w:rPr>
                <w:rFonts w:ascii="Times New Roman" w:hAnsi="Times New Roman"/>
                <w:b w:val="0"/>
                <w:sz w:val="20"/>
              </w:rPr>
              <w:t>28.500.000 VND</w:t>
            </w:r>
          </w:p>
        </w:tc>
        <w:tc>
          <w:tcPr>
            <w:tcW w:w="1559" w:type="dxa"/>
            <w:vAlign w:val="center"/>
            <w:hideMark/>
          </w:tcPr>
          <w:p>
            <w:pPr>
              <w:jc w:val="center"/>
            </w:pPr>
            <w:r/>
            <w:r>
              <w:rPr>
                <w:rFonts w:ascii="Times New Roman" w:hAnsi="Times New Roman"/>
                <w:b w:val="0"/>
                <w:sz w:val="20"/>
              </w:rPr>
              <w:t>5 SET</w:t>
            </w:r>
          </w:p>
        </w:tc>
        <w:tc>
          <w:tcPr>
            <w:tcW w:w="2155" w:type="dxa"/>
            <w:vAlign w:val="center"/>
            <w:hideMark/>
          </w:tcPr>
          <w:p>
            <w:pPr>
              <w:jc w:val="right"/>
            </w:pPr>
            <w:r/>
            <w:r>
              <w:rPr>
                <w:rFonts w:ascii="Times New Roman" w:hAnsi="Times New Roman"/>
                <w:b w:val="0"/>
                <w:sz w:val="20"/>
              </w:rPr>
              <w:t>142.500.000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5</w:t>
            </w:r>
          </w:p>
        </w:tc>
        <w:tc>
          <w:tcPr>
            <w:tcW w:w="3656" w:type="dxa"/>
            <w:vAlign w:val="center"/>
            <w:hideMark/>
          </w:tcPr>
          <w:p>
            <w:pPr>
              <w:jc w:val="left"/>
            </w:pPr>
            <w:r/>
            <w:r>
              <w:rPr>
                <w:rFonts w:ascii="Times New Roman" w:hAnsi="Times New Roman"/>
                <w:b w:val="0"/>
                <w:sz w:val="20"/>
              </w:rPr>
              <w:t>Máy quét mã vạch công nghiệp</w:t>
            </w:r>
            <w:r>
              <w:br/>
            </w:r>
            <w:r>
              <w:rPr>
                <w:rFonts w:ascii="Times New Roman" w:hAnsi="Times New Roman"/>
                <w:b w:val="0"/>
                <w:sz w:val="20"/>
              </w:rPr>
              <w:t>工業條碼掃描器</w:t>
            </w:r>
          </w:p>
        </w:tc>
        <w:tc>
          <w:tcPr>
            <w:tcW w:w="1985" w:type="dxa"/>
            <w:vAlign w:val="center"/>
            <w:hideMark/>
          </w:tcPr>
          <w:p>
            <w:pPr>
              <w:jc w:val="right"/>
            </w:pPr>
            <w:r/>
            <w:r>
              <w:rPr>
                <w:rFonts w:ascii="Times New Roman" w:hAnsi="Times New Roman"/>
                <w:b w:val="0"/>
                <w:sz w:val="20"/>
              </w:rPr>
              <w:t>12.800.000 VND</w:t>
            </w:r>
          </w:p>
        </w:tc>
        <w:tc>
          <w:tcPr>
            <w:tcW w:w="1559" w:type="dxa"/>
            <w:vAlign w:val="center"/>
            <w:hideMark/>
          </w:tcPr>
          <w:p>
            <w:pPr>
              <w:jc w:val="center"/>
            </w:pPr>
            <w:r/>
            <w:r>
              <w:rPr>
                <w:rFonts w:ascii="Times New Roman" w:hAnsi="Times New Roman"/>
                <w:b w:val="0"/>
                <w:sz w:val="20"/>
              </w:rPr>
              <w:t>10 SET</w:t>
            </w:r>
          </w:p>
        </w:tc>
        <w:tc>
          <w:tcPr>
            <w:tcW w:w="2155" w:type="dxa"/>
            <w:vAlign w:val="center"/>
            <w:hideMark/>
          </w:tcPr>
          <w:p>
            <w:pPr>
              <w:jc w:val="right"/>
            </w:pPr>
            <w:r/>
            <w:r>
              <w:rPr>
                <w:rFonts w:ascii="Times New Roman" w:hAnsi="Times New Roman"/>
                <w:b w:val="0"/>
                <w:sz w:val="20"/>
              </w:rPr>
              <w:t>128.000.000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6</w:t>
            </w:r>
          </w:p>
        </w:tc>
        <w:tc>
          <w:tcPr>
            <w:tcW w:w="3656" w:type="dxa"/>
            <w:vAlign w:val="center"/>
            <w:hideMark/>
          </w:tcPr>
          <w:p>
            <w:pPr>
              <w:jc w:val="left"/>
            </w:pPr>
            <w:r/>
            <w:r>
              <w:rPr>
                <w:rFonts w:ascii="Times New Roman" w:hAnsi="Times New Roman"/>
                <w:b w:val="0"/>
                <w:sz w:val="20"/>
              </w:rPr>
              <w:t>Máy tính bảng công nghiệp 10 inch</w:t>
            </w:r>
            <w:r>
              <w:br/>
            </w:r>
            <w:r>
              <w:rPr>
                <w:rFonts w:ascii="Times New Roman" w:hAnsi="Times New Roman"/>
                <w:b w:val="0"/>
                <w:sz w:val="20"/>
              </w:rPr>
              <w:t>10吋工業平板電腦</w:t>
            </w:r>
          </w:p>
        </w:tc>
        <w:tc>
          <w:tcPr>
            <w:tcW w:w="1985" w:type="dxa"/>
            <w:vAlign w:val="center"/>
            <w:hideMark/>
          </w:tcPr>
          <w:p>
            <w:pPr>
              <w:jc w:val="right"/>
            </w:pPr>
            <w:r/>
            <w:r>
              <w:rPr>
                <w:rFonts w:ascii="Times New Roman" w:hAnsi="Times New Roman"/>
                <w:b w:val="0"/>
                <w:sz w:val="20"/>
              </w:rPr>
              <w:t>18.600.000 VND</w:t>
            </w:r>
          </w:p>
        </w:tc>
        <w:tc>
          <w:tcPr>
            <w:tcW w:w="1559" w:type="dxa"/>
            <w:vAlign w:val="center"/>
            <w:hideMark/>
          </w:tcPr>
          <w:p>
            <w:pPr>
              <w:jc w:val="center"/>
            </w:pPr>
            <w:r/>
            <w:r>
              <w:rPr>
                <w:rFonts w:ascii="Times New Roman" w:hAnsi="Times New Roman"/>
                <w:b w:val="0"/>
                <w:sz w:val="20"/>
              </w:rPr>
              <w:t>6 SET</w:t>
            </w:r>
          </w:p>
        </w:tc>
        <w:tc>
          <w:tcPr>
            <w:tcW w:w="2155" w:type="dxa"/>
            <w:vAlign w:val="center"/>
            <w:hideMark/>
          </w:tcPr>
          <w:p>
            <w:pPr>
              <w:jc w:val="right"/>
            </w:pPr>
            <w:r/>
            <w:r>
              <w:rPr>
                <w:rFonts w:ascii="Times New Roman" w:hAnsi="Times New Roman"/>
                <w:b w:val="0"/>
                <w:sz w:val="20"/>
              </w:rPr>
              <w:t>111.600.000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7</w:t>
            </w:r>
          </w:p>
        </w:tc>
        <w:tc>
          <w:tcPr>
            <w:tcW w:w="3656" w:type="dxa"/>
            <w:vAlign w:val="center"/>
            <w:hideMark/>
          </w:tcPr>
          <w:p>
            <w:pPr>
              <w:jc w:val="left"/>
            </w:pPr>
            <w:r/>
            <w:r>
              <w:rPr>
                <w:rFonts w:ascii="Times New Roman" w:hAnsi="Times New Roman"/>
                <w:b w:val="0"/>
                <w:sz w:val="20"/>
              </w:rPr>
              <w:t>Bộ chuyển mạch mạng công nghiệp</w:t>
            </w:r>
            <w:r>
              <w:br/>
            </w:r>
            <w:r>
              <w:rPr>
                <w:rFonts w:ascii="Times New Roman" w:hAnsi="Times New Roman"/>
                <w:b w:val="0"/>
                <w:sz w:val="20"/>
              </w:rPr>
              <w:t>工業網路交換器</w:t>
            </w:r>
          </w:p>
        </w:tc>
        <w:tc>
          <w:tcPr>
            <w:tcW w:w="1985" w:type="dxa"/>
            <w:vAlign w:val="center"/>
            <w:hideMark/>
          </w:tcPr>
          <w:p>
            <w:pPr>
              <w:jc w:val="right"/>
            </w:pPr>
            <w:r/>
            <w:r>
              <w:rPr>
                <w:rFonts w:ascii="Times New Roman" w:hAnsi="Times New Roman"/>
                <w:b w:val="0"/>
                <w:sz w:val="20"/>
              </w:rPr>
              <w:t>9.500.000 VND</w:t>
            </w:r>
          </w:p>
        </w:tc>
        <w:tc>
          <w:tcPr>
            <w:tcW w:w="1559" w:type="dxa"/>
            <w:vAlign w:val="center"/>
            <w:hideMark/>
          </w:tcPr>
          <w:p>
            <w:pPr>
              <w:jc w:val="center"/>
            </w:pPr>
            <w:r/>
            <w:r>
              <w:rPr>
                <w:rFonts w:ascii="Times New Roman" w:hAnsi="Times New Roman"/>
                <w:b w:val="0"/>
                <w:sz w:val="20"/>
              </w:rPr>
              <w:t>8 SET</w:t>
            </w:r>
          </w:p>
        </w:tc>
        <w:tc>
          <w:tcPr>
            <w:tcW w:w="2155" w:type="dxa"/>
            <w:vAlign w:val="center"/>
            <w:hideMark/>
          </w:tcPr>
          <w:p>
            <w:pPr>
              <w:jc w:val="right"/>
            </w:pPr>
            <w:r/>
            <w:r>
              <w:rPr>
                <w:rFonts w:ascii="Times New Roman" w:hAnsi="Times New Roman"/>
                <w:b w:val="0"/>
                <w:sz w:val="20"/>
              </w:rPr>
              <w:t>76.000.000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8</w:t>
            </w:r>
          </w:p>
        </w:tc>
        <w:tc>
          <w:tcPr>
            <w:tcW w:w="3656" w:type="dxa"/>
            <w:vAlign w:val="center"/>
            <w:hideMark/>
          </w:tcPr>
          <w:p>
            <w:pPr>
              <w:jc w:val="left"/>
            </w:pPr>
            <w:r/>
            <w:r>
              <w:rPr>
                <w:rFonts w:ascii="Times New Roman" w:hAnsi="Times New Roman"/>
                <w:b w:val="0"/>
                <w:sz w:val="20"/>
              </w:rPr>
              <w:t>Dịch vụ lắp đặt và cấu hình hệ thống</w:t>
            </w:r>
            <w:r>
              <w:br/>
            </w:r>
            <w:r>
              <w:rPr>
                <w:rFonts w:ascii="Times New Roman" w:hAnsi="Times New Roman"/>
                <w:b w:val="0"/>
                <w:sz w:val="20"/>
              </w:rPr>
              <w:t>系統安裝與設定服務</w:t>
            </w:r>
          </w:p>
        </w:tc>
        <w:tc>
          <w:tcPr>
            <w:tcW w:w="1985" w:type="dxa"/>
            <w:vAlign w:val="center"/>
            <w:hideMark/>
          </w:tcPr>
          <w:p>
            <w:pPr>
              <w:jc w:val="right"/>
            </w:pPr>
            <w:r/>
            <w:r>
              <w:rPr>
                <w:rFonts w:ascii="Times New Roman" w:hAnsi="Times New Roman"/>
                <w:b w:val="0"/>
                <w:sz w:val="20"/>
              </w:rPr>
              <w:t>75.000.000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75.000.000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9</w:t>
            </w:r>
          </w:p>
        </w:tc>
        <w:tc>
          <w:tcPr>
            <w:tcW w:w="3656" w:type="dxa"/>
            <w:vAlign w:val="center"/>
            <w:hideMark/>
          </w:tcPr>
          <w:p>
            <w:pPr>
              <w:jc w:val="left"/>
            </w:pPr>
            <w:r/>
            <w:r>
              <w:rPr>
                <w:rFonts w:ascii="Times New Roman" w:hAnsi="Times New Roman"/>
                <w:b w:val="0"/>
                <w:sz w:val="20"/>
              </w:rPr>
              <w:t>Dịch vụ đào tạo nhân viên vận hành</w:t>
            </w:r>
            <w:r>
              <w:br/>
            </w:r>
            <w:r>
              <w:rPr>
                <w:rFonts w:ascii="Times New Roman" w:hAnsi="Times New Roman"/>
                <w:b w:val="0"/>
                <w:sz w:val="20"/>
              </w:rPr>
              <w:t>操作人員教育訓練服務</w:t>
            </w:r>
          </w:p>
        </w:tc>
        <w:tc>
          <w:tcPr>
            <w:tcW w:w="1985" w:type="dxa"/>
            <w:vAlign w:val="center"/>
            <w:hideMark/>
          </w:tcPr>
          <w:p>
            <w:pPr>
              <w:jc w:val="right"/>
            </w:pPr>
            <w:r/>
            <w:r>
              <w:rPr>
                <w:rFonts w:ascii="Times New Roman" w:hAnsi="Times New Roman"/>
                <w:b w:val="0"/>
                <w:sz w:val="20"/>
              </w:rPr>
              <w:t>32.000.000 VND</w:t>
            </w:r>
          </w:p>
        </w:tc>
        <w:tc>
          <w:tcPr>
            <w:tcW w:w="1559" w:type="dxa"/>
            <w:vAlign w:val="center"/>
            <w:hideMark/>
          </w:tcPr>
          <w:p>
            <w:pPr>
              <w:jc w:val="center"/>
            </w:pPr>
            <w:r/>
            <w:r>
              <w:rPr>
                <w:rFonts w:ascii="Times New Roman" w:hAnsi="Times New Roman"/>
                <w:b w:val="0"/>
                <w:sz w:val="20"/>
              </w:rPr>
              <w:t>2 SET</w:t>
            </w:r>
          </w:p>
        </w:tc>
        <w:tc>
          <w:tcPr>
            <w:tcW w:w="2155" w:type="dxa"/>
            <w:vAlign w:val="center"/>
            <w:hideMark/>
          </w:tcPr>
          <w:p>
            <w:pPr>
              <w:jc w:val="right"/>
            </w:pPr>
            <w:r/>
            <w:r>
              <w:rPr>
                <w:rFonts w:ascii="Times New Roman" w:hAnsi="Times New Roman"/>
                <w:b w:val="0"/>
                <w:sz w:val="20"/>
              </w:rPr>
              <w:t>64.000.000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10</w:t>
            </w:r>
          </w:p>
        </w:tc>
        <w:tc>
          <w:tcPr>
            <w:tcW w:w="3656" w:type="dxa"/>
            <w:vAlign w:val="center"/>
            <w:hideMark/>
          </w:tcPr>
          <w:p>
            <w:pPr>
              <w:jc w:val="left"/>
            </w:pPr>
            <w:r/>
            <w:r>
              <w:rPr>
                <w:rFonts w:ascii="Times New Roman" w:hAnsi="Times New Roman"/>
                <w:b w:val="0"/>
                <w:sz w:val="20"/>
              </w:rPr>
              <w:t>Gói bảo trì hệ thống trong 12 tháng</w:t>
            </w:r>
            <w:r>
              <w:br/>
            </w:r>
            <w:r>
              <w:rPr>
                <w:rFonts w:ascii="Times New Roman" w:hAnsi="Times New Roman"/>
                <w:b w:val="0"/>
                <w:sz w:val="20"/>
              </w:rPr>
              <w:t>12個月系統維護服務</w:t>
            </w:r>
          </w:p>
        </w:tc>
        <w:tc>
          <w:tcPr>
            <w:tcW w:w="1985" w:type="dxa"/>
            <w:vAlign w:val="center"/>
            <w:hideMark/>
          </w:tcPr>
          <w:p>
            <w:pPr>
              <w:jc w:val="right"/>
            </w:pPr>
            <w:r/>
            <w:r>
              <w:rPr>
                <w:rFonts w:ascii="Times New Roman" w:hAnsi="Times New Roman"/>
                <w:b w:val="0"/>
                <w:sz w:val="20"/>
              </w:rPr>
              <w:t>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85.000.000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r>
          </w:p>
        </w:tc>
        <w:tc>
          <w:tcPr>
            <w:tcW w:w="1559" w:type="dxa"/>
            <w:vAlign w:val="center"/>
          </w:tcPr>
          <w:p>
            <w:pPr>
              <w:jc w:val="center"/>
            </w:pPr>
            <w:r/>
            <w:r>
              <w:rPr>
                <w:rFonts w:ascii="Times New Roman" w:hAnsi="Times New Roman"/>
                <w:b/>
                <w:sz w:val="20"/>
              </w:rPr>
              <w:t>36 SET</w:t>
            </w:r>
          </w:p>
        </w:tc>
        <w:tc>
          <w:tcPr>
            <w:tcW w:w="2155" w:type="dxa"/>
            <w:vAlign w:val="center"/>
          </w:tcPr>
          <w:p>
            <w:pPr>
              <w:jc w:val="right"/>
            </w:pPr>
            <w:r/>
            <w:r>
              <w:rPr>
                <w:rFonts w:ascii="Times New Roman" w:hAnsi="Times New Roman"/>
                <w:b/>
                <w:sz w:val="20"/>
              </w:rPr>
              <w:t>1.382.100.000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1.382.100.000 VND ( Một tỷ ba trăm tám mươi hai triệu một trăm nghìn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1.382.100.000 VND (越南盾壹拾參億捌仟貳佰壹拾萬整)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簽約定金：支付合約總金額之 35%，即 483.735.000 VND（越南盾肆億捌仟參佰柒拾參萬伍仟整），雙方簽約後即期以電匯（T/T）方式支付。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35%): Thanh toán 35% giá trị hợp đồng (483.735.000 VND – Bốn trăm tám mươi ba triệu bảy trăm ba mươi lăm nghìn đồng chẵn.) thanh toán trước ngay sau khi hai bên ký kết hợp đồng bằng hình thức chuyển khoản T/T.</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設備安裝款：支付合約總金額之 55%，即 760.155.000 VND（越南盾柒億陸仟零壹拾伍萬伍仟整），於系統安裝及建置完成後支付。</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Hoàn thành lắp đặt và cấu hình hệ thống): Thanh toán 55% giá trị hợp đồng (760.155.000 VND – Bảy trăm sáu mươi triệu một trăm năm mươi lăm nghìn đồng chẵn.) sau khi hoàn thành lắp đặt và cấu hình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驗收尾款：支付合約總金額之 10%，即 138.210.000 VND（越南盾壹億參仟捌佰貳拾壹萬整），於最終驗收（FAC）完成並簽署驗收交付文件後支付。</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Nghiệm thu cuối cùng - FAC): Thanh toán 10% giá trị hợp đồng (138.210.000 VND – Một trăm ba mươi tám triệu hai trăm mười nghìn đồng chẵn.) sau khi khách hàng nghiệm thu hoàn tất và ký biên bản bàn giao chính thức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515CA99" w14:textId="77777777" w:rsidR="00BD0127" w:rsidRPr="008867E1" w:rsidRDefault="00BD0127" w:rsidP="00FE4C7F">
      <w:pPr>
        <w:spacing w:after="0" w:line="360" w:lineRule="exact"/>
        <w:rPr>
          <w:rFonts w:ascii="Times New Roman" w:hAnsi="Times New Roman"/>
          <w:sz w:val="24"/>
          <w:szCs w:val="24"/>
          <w:lang w:eastAsia="zh-TW"/>
        </w:rPr>
      </w:pPr>
      <w:r w:rsidRPr="008867E1">
        <w:rPr>
          <w:rFonts w:ascii="Times New Roman" w:hAnsi="Times New Roman"/>
          <w:sz w:val="24"/>
          <w:szCs w:val="24"/>
          <w:lang w:eastAsia="zh-TW"/>
        </w:rPr>
        <w:tab/>
        <w:t xml:space="preserve">Khi một trong hai bên không thể thực hiện hoặc thực hiện không đầy đủ hợp đồng này do sự kiện bất khả </w:t>
      </w:r>
    </w:p>
    <w:p w14:paraId="500A0348" w14:textId="77777777" w:rsidR="00BD0127" w:rsidRPr="008867E1" w:rsidRDefault="00BD0127" w:rsidP="00D11A71">
      <w:pPr>
        <w:pStyle w:val="ListParagraph1"/>
        <w:numPr>
          <w:ilvl w:val="0"/>
          <w:numId w:val="38"/>
        </w:numPr>
        <w:spacing w:after="0" w:line="350" w:lineRule="exact"/>
        <w:ind w:left="720" w:hanging="862"/>
        <w:jc w:val="both"/>
        <w:rPr>
          <w:rFonts w:ascii="Times New Roman" w:hAnsi="Times New Roman"/>
          <w:sz w:val="24"/>
          <w:szCs w:val="24"/>
        </w:rPr>
      </w:pPr>
      <w:r w:rsidRPr="008867E1">
        <w:rPr>
          <w:rFonts w:ascii="Times New Roman" w:hAnsi="Times New Roman"/>
          <w:sz w:val="24"/>
          <w:szCs w:val="24"/>
          <w:lang w:eastAsia="zh-TW"/>
        </w:rPr>
        <w:tab/>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p>
    <w:p w14:paraId="2B2CC7BC" w14:textId="77777777" w:rsidR="00FE4C7F" w:rsidRPr="008867E1" w:rsidRDefault="00BD0127" w:rsidP="00FE4C7F">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ab/>
        <w:t xml:space="preserve">thời hạn ba ngày làm việc, hai bên có trách nhiệm thỏa thuận việc thực hiện hợp đồng theo tình hình thực </w:t>
      </w:r>
      <w:r w:rsidRPr="008867E1">
        <w:rPr>
          <w:rFonts w:ascii="Times New Roman" w:hAnsi="Times New Roman"/>
          <w:sz w:val="24"/>
          <w:szCs w:val="24"/>
          <w:lang w:val="vi-VN" w:eastAsia="zh-TW"/>
        </w:rPr>
        <w:tab/>
        <w:t>tế.</w:t>
      </w:r>
    </w:p>
    <w:p w14:paraId="6FF74452" w14:textId="77777777" w:rsidR="00BD0127" w:rsidRPr="008867E1" w:rsidRDefault="00BD0127" w:rsidP="00FE4C7F">
      <w:pPr>
        <w:spacing w:after="0" w:line="360" w:lineRule="exact"/>
        <w:rPr>
          <w:rFonts w:ascii="Times New Roman" w:hAnsi="Times New Roman"/>
          <w:sz w:val="24"/>
          <w:szCs w:val="24"/>
          <w:lang w:val="vi-VN"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867E1">
        <w:rPr>
          <w:rFonts w:ascii="Times New Roman" w:hAnsi="Times New Roman" w:hint="eastAsia"/>
          <w:color w:val="FF0000"/>
          <w:sz w:val="24"/>
          <w:szCs w:val="24"/>
          <w:lang w:eastAsia="zh-TW"/>
        </w:rPr>
        <w:t>越</w:t>
      </w:r>
      <w:r w:rsidR="00545C45" w:rsidRPr="008867E1">
        <w:rPr>
          <w:rFonts w:ascii="Times New Roman" w:hAnsi="Times New Roman"/>
          <w:color w:val="FF0000"/>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hint="eastAsia"/>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hint="eastAsia"/>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hint="eastAsia"/>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hint="eastAsia"/>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hint="eastAsia"/>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hint="eastAsia"/>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736A" w14:textId="77777777" w:rsidR="00DD4DCF" w:rsidRDefault="00DD4DCF" w:rsidP="00CF4D0F">
      <w:pPr>
        <w:spacing w:after="0" w:line="240" w:lineRule="auto"/>
      </w:pPr>
      <w:r>
        <w:separator/>
      </w:r>
    </w:p>
  </w:endnote>
  <w:endnote w:type="continuationSeparator" w:id="0">
    <w:p w14:paraId="4515756F" w14:textId="77777777" w:rsidR="00DD4DCF" w:rsidRDefault="00DD4DCF"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1B99" w14:textId="77777777" w:rsidR="00DD4DCF" w:rsidRDefault="00DD4DCF" w:rsidP="00CF4D0F">
      <w:pPr>
        <w:spacing w:after="0" w:line="240" w:lineRule="auto"/>
      </w:pPr>
      <w:r>
        <w:separator/>
      </w:r>
    </w:p>
  </w:footnote>
  <w:footnote w:type="continuationSeparator" w:id="0">
    <w:p w14:paraId="3955B9FE" w14:textId="77777777" w:rsidR="00DD4DCF" w:rsidRDefault="00DD4DCF"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12371</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2</cp:revision>
  <cp:lastPrinted>2025-06-12T12:11:00Z</cp:lastPrinted>
  <dcterms:created xsi:type="dcterms:W3CDTF">2026-10-13T08:13:00Z</dcterms:created>
  <dcterms:modified xsi:type="dcterms:W3CDTF">2026-10-13T08:13:00Z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