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Pr>
          <w:p>
            <w:pPr>
              <w:spacing w:after="40" w:line="276" w:lineRule="auto"/>
              <w:jc w:val="center"/>
            </w:pPr>
            <w:r>
              <w:rPr>
                <w:rFonts w:ascii="Times New Roman" w:hAnsi="Times New Roman" w:eastAsia="Microsoft JhengHei"/>
                <w:b/>
                <w:i w:val="0"/>
                <w:sz w:val="20"/>
              </w:rPr>
              <w:t>CÔNG TY TNHH TOÀN CẦU HONG MING</w:t>
              <w:br/>
              <w:t>宏明環球有限公司</w:t>
            </w:r>
          </w:p>
        </w:tc>
        <w:tc>
          <w:tcPr>
            <w:tcW w:type="dxa" w:w="5472"/>
            <w:tcBorders>
              <w:top w:val="none"/>
              <w:left w:val="none"/>
              <w:bottom w:val="none"/>
              <w:right w:val="none"/>
            </w:tcBorders>
          </w:tcPr>
          <w:p>
            <w:pPr>
              <w:spacing w:after="40" w:line="276" w:lineRule="auto"/>
              <w:jc w:val="center"/>
            </w:pPr>
            <w:r>
              <w:rPr>
                <w:rFonts w:ascii="Times New Roman" w:hAnsi="Times New Roman" w:eastAsia="Microsoft JhengHei"/>
                <w:b/>
                <w:i w:val="0"/>
                <w:sz w:val="20"/>
              </w:rPr>
              <w:t>CỘNG HÒA XÃ HỘI CHỦ NGHĨA VIỆT NAM</w:t>
              <w:br/>
              <w:t>越南社會主義共和國</w:t>
              <w:br/>
              <w:t>Độc lập - Tự do - Hạnh phúc</w:t>
              <w:br/>
              <w:t>獨立 - 自由 - 幸福</w:t>
            </w:r>
          </w:p>
        </w:tc>
      </w:tr>
    </w:tbl>
    <w:p>
      <w:pPr>
        <w:spacing w:after="240"/>
        <w:jc w:val="center"/>
      </w:pPr>
      <w:r>
        <w:rPr>
          <w:rFonts w:ascii="Times New Roman" w:hAnsi="Times New Roman" w:eastAsia="Microsoft JhengHei"/>
          <w:b w:val="0"/>
          <w:i w:val="0"/>
          <w:color w:val="64748B"/>
          <w:sz w:val="20"/>
        </w:rPr>
        <w:t>━━━━━━━━━━━━━━━━━━━━━━━━━</w:t>
      </w:r>
    </w:p>
    <w:p>
      <w:pPr>
        <w:spacing w:after="60"/>
        <w:jc w:val="center"/>
      </w:pPr>
      <w:r>
        <w:rPr>
          <w:rFonts w:ascii="Times New Roman" w:hAnsi="Times New Roman" w:eastAsia="Microsoft JhengHei"/>
          <w:b/>
          <w:i w:val="0"/>
          <w:sz w:val="30"/>
        </w:rPr>
        <w:t>HỢP ĐỒNG DỊCH VỤ SỬA CHỮA VÀ BẢO TRÌ THIẾT BỊ</w:t>
      </w:r>
    </w:p>
    <w:p>
      <w:pPr>
        <w:spacing w:after="120"/>
        <w:jc w:val="center"/>
      </w:pPr>
      <w:r>
        <w:rPr>
          <w:rFonts w:ascii="Microsoft JhengHei" w:hAnsi="Microsoft JhengHei" w:eastAsia="Microsoft JhengHei"/>
          <w:b/>
          <w:i w:val="0"/>
          <w:sz w:val="28"/>
        </w:rPr>
        <w:t>設備維修保養服務合約</w:t>
      </w:r>
    </w:p>
    <w:p>
      <w:pPr>
        <w:spacing w:after="280"/>
        <w:jc w:val="center"/>
      </w:pPr>
      <w:r>
        <w:rPr>
          <w:rFonts w:ascii="Times New Roman" w:hAnsi="Times New Roman" w:eastAsia="Microsoft JhengHei"/>
          <w:b/>
          <w:i w:val="0"/>
          <w:sz w:val="22"/>
        </w:rPr>
        <w:t>Số / 合約編號: HDSC-TEST-20261019</w:t>
      </w:r>
    </w:p>
    <w:p>
      <w:pPr>
        <w:spacing w:after="200" w:line="288" w:lineRule="auto"/>
      </w:pPr>
      <w:r>
        <w:rPr>
          <w:rFonts w:ascii="Times New Roman" w:hAnsi="Times New Roman" w:eastAsia="Microsoft JhengHei"/>
          <w:b w:val="0"/>
          <w:i w:val="0"/>
          <w:sz w:val="21"/>
        </w:rPr>
        <w:t>- Căn cứ Bộ luật Dân sự số 91/2015/QH13 và Luật Thương mại số 36/2005/QH11 của nước Cộng hòa Xã hội Chủ nghĩa Việt Nam;</w:t>
        <w:br/>
        <w:t xml:space="preserve">  依據越南社會主義共和國第 91/2015/QH13 號民法典及第 36/2005/QH11 號商法；</w:t>
        <w:br/>
        <w:t>- Căn cứ vào nhu cầu sửa chữa, phục hồi thiết bị của Bên A và năng lực kỹ thuật của Bên B;</w:t>
        <w:br/>
        <w:t xml:space="preserve">  基於甲方設備維修與恢復正常運轉之需求，以及乙方之專業技術能力；</w:t>
        <w:br/>
        <w:br/>
        <w:t>Hôm nay, ngày 19 tháng 10 năm 2026, tại văn phòng hai bên thống nhất ký kết hợp đồng dịch vụ với các điều khoản sau:</w:t>
        <w:br/>
        <w:t>今天，2026 年 10 月 19 日，雙方在友好協商基礎上，一致同意簽訂本設備維修服務合約，條款如下：</w:t>
      </w:r>
    </w:p>
    <w:p>
      <w:pPr>
        <w:spacing w:after="80"/>
      </w:pPr>
      <w:r>
        <w:rPr>
          <w:rFonts w:ascii="Times New Roman" w:hAnsi="Times New Roman" w:eastAsia="Microsoft JhengHei"/>
          <w:b/>
          <w:i w:val="0"/>
          <w:sz w:val="22"/>
        </w:rPr>
        <w:t>BÊN A (BÊN GIAO SỬA CHỮA / 委託方 - 甲方):</w:t>
      </w:r>
    </w:p>
    <w:p>
      <w:pPr>
        <w:spacing w:after="160" w:line="288" w:lineRule="auto"/>
        <w:ind w:left="288"/>
      </w:pPr>
      <w:r>
        <w:rPr>
          <w:rFonts w:ascii="Times New Roman" w:hAnsi="Times New Roman" w:eastAsia="Microsoft JhengHei"/>
          <w:b w:val="0"/>
          <w:i w:val="0"/>
          <w:sz w:val="21"/>
        </w:rPr>
        <w:t>• Tên công ty / 公司名稱: CÔNG TY CỔ PHẦN CX TECHNOLOGY (VN) (越南CX科技股份有限公司)</w:t>
        <w:br/>
        <w:t>• Địa chỉ trụ sở / 公司地址: Lô K1, KCX Tân Thuận, Q. 7, TP. HCM / 胡志明市第七郡新順加工出口區K1地塊</w:t>
        <w:br/>
        <w:t>• Mã số thuế / 稅號: 0301789999</w:t>
        <w:br/>
        <w:t>• Người đại diện / 代表人: CHEN CHEN-YEN     Chức vụ / 職務: TỔNG GIÁM ĐỐC / 總經理</w:t>
      </w:r>
    </w:p>
    <w:p>
      <w:pPr>
        <w:spacing w:after="80"/>
      </w:pPr>
      <w:r>
        <w:rPr>
          <w:rFonts w:ascii="Times New Roman" w:hAnsi="Times New Roman" w:eastAsia="Microsoft JhengHei"/>
          <w:b/>
          <w:i w:val="0"/>
          <w:sz w:val="22"/>
        </w:rPr>
        <w:t>BÊN B (BÊN NHẬN SỬA CHỮA / 承修方 - 乙方):</w:t>
      </w:r>
    </w:p>
    <w:p>
      <w:pPr>
        <w:spacing w:after="240" w:line="288" w:lineRule="auto"/>
        <w:ind w:left="288"/>
      </w:pPr>
      <w:r>
        <w:rPr>
          <w:rFonts w:ascii="Times New Roman" w:hAnsi="Times New Roman" w:eastAsia="Microsoft JhengHei"/>
          <w:b w:val="0"/>
          <w:i w:val="0"/>
          <w:sz w:val="21"/>
        </w:rPr>
        <w:t>• Tên công ty / 公司名稱: CÔNG TY TNHH TOÀN CẦU HONG MING (宏明環球有限公司)</w:t>
        <w:br/>
        <w:t>• Địa chỉ trụ sở / 公司地址: Lầu 2, số 68 Nguyễn Huệ, Phường Sài Gòn, Thành phố Hồ Chí Minh, Việt Nam / 越南胡志明市西貢坊阮惠路68號2樓</w:t>
        <w:br/>
        <w:t>• Mã số thuế / 稅號: 0318280158</w:t>
        <w:br/>
        <w:t>• Người đại diện / 代表人: TANG WEI LI     Chức vụ / 職務: TỔNG GIÁM ĐỐC / 總經理</w:t>
      </w:r>
    </w:p>
    <w:p>
      <w:pPr>
        <w:spacing w:after="80"/>
      </w:pPr>
      <w:r>
        <w:rPr>
          <w:rFonts w:ascii="Times New Roman" w:hAnsi="Times New Roman" w:eastAsia="Microsoft JhengHei"/>
          <w:b/>
          <w:i w:val="0"/>
          <w:sz w:val="22"/>
        </w:rPr>
        <w:t>ĐIỀU 1: PHẠM VI DỊCH VỤ &amp; DANH MỤC THIẾT BỊ SỬA CHỮA / 第一條：維修內容與設備清單</w:t>
      </w:r>
    </w:p>
    <w:p>
      <w:pPr>
        <w:spacing w:after="120"/>
      </w:pPr>
      <w:r>
        <w:rPr>
          <w:rFonts w:ascii="Times New Roman" w:hAnsi="Times New Roman" w:eastAsia="Microsoft JhengHei"/>
          <w:b w:val="0"/>
          <w:i/>
          <w:sz w:val="21"/>
        </w:rPr>
        <w:t>Bên B nhận thực hiện gói dịch vụ: Dịch vụ kiểm tra, sửa chữa máy tính công nghiệp IPC / 工控機設備檢修及維修服務 theo danh mục chi tiết sau:</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76"/>
            <w:tcMar>
              <w:top w:w="80" w:type="dxa"/>
              <w:bottom w:w="80" w:type="dxa"/>
              <w:left w:w="80" w:type="dxa"/>
              <w:right w:w="80" w:type="dxa"/>
            </w:tcMar>
            <w:shd w:fill="F1F5F9"/>
            <w:tcBorders>
              <w:top w:val="single" w:sz="6" w:space="0" w:color="94A3B8"/>
              <w:left w:val="single" w:sz="6" w:space="0" w:color="CBD5E1"/>
              <w:bottom w:val="single" w:sz="6" w:space="0" w:color="94A3B8"/>
              <w:right w:val="single" w:sz="6" w:space="0" w:color="CBD5E1"/>
            </w:tcBorders>
          </w:tcPr>
          <w:p>
            <w:pPr>
              <w:spacing w:after="0" w:line="252" w:lineRule="auto"/>
              <w:jc w:val="center"/>
            </w:pPr>
            <w:r>
              <w:rPr>
                <w:rFonts w:ascii="Times New Roman" w:hAnsi="Times New Roman" w:eastAsia="Microsoft JhengHei"/>
                <w:b/>
                <w:i w:val="0"/>
                <w:sz w:val="18"/>
              </w:rPr>
              <w:t>STT</w:t>
              <w:br/>
              <w:t>序號</w:t>
            </w:r>
          </w:p>
        </w:tc>
        <w:tc>
          <w:tcPr>
            <w:tcW w:type="dxa" w:w="3312"/>
            <w:tcMar>
              <w:top w:w="80" w:type="dxa"/>
              <w:bottom w:w="80" w:type="dxa"/>
              <w:left w:w="80" w:type="dxa"/>
              <w:right w:w="80" w:type="dxa"/>
            </w:tcMar>
            <w:shd w:fill="F1F5F9"/>
            <w:tcBorders>
              <w:top w:val="single" w:sz="6" w:space="0" w:color="94A3B8"/>
              <w:left w:val="single" w:sz="6" w:space="0" w:color="CBD5E1"/>
              <w:bottom w:val="single" w:sz="6" w:space="0" w:color="94A3B8"/>
              <w:right w:val="single" w:sz="6" w:space="0" w:color="CBD5E1"/>
            </w:tcBorders>
          </w:tcPr>
          <w:p>
            <w:pPr>
              <w:spacing w:after="0" w:line="252" w:lineRule="auto"/>
              <w:jc w:val="center"/>
            </w:pPr>
            <w:r>
              <w:rPr>
                <w:rFonts w:ascii="Times New Roman" w:hAnsi="Times New Roman" w:eastAsia="Microsoft JhengHei"/>
                <w:b/>
                <w:i w:val="0"/>
                <w:sz w:val="18"/>
              </w:rPr>
              <w:t>Thiết Bị / Linh Kiện Sửa Chữa</w:t>
              <w:br/>
              <w:t>維修設備與更換零件名稱</w:t>
            </w:r>
          </w:p>
        </w:tc>
        <w:tc>
          <w:tcPr>
            <w:tcW w:type="dxa" w:w="1584"/>
            <w:tcMar>
              <w:top w:w="80" w:type="dxa"/>
              <w:bottom w:w="80" w:type="dxa"/>
              <w:left w:w="80" w:type="dxa"/>
              <w:right w:w="80" w:type="dxa"/>
            </w:tcMar>
            <w:shd w:fill="F1F5F9"/>
            <w:tcBorders>
              <w:top w:val="single" w:sz="6" w:space="0" w:color="94A3B8"/>
              <w:left w:val="single" w:sz="6" w:space="0" w:color="CBD5E1"/>
              <w:bottom w:val="single" w:sz="6" w:space="0" w:color="94A3B8"/>
              <w:right w:val="single" w:sz="6" w:space="0" w:color="CBD5E1"/>
            </w:tcBorders>
          </w:tcPr>
          <w:p>
            <w:pPr>
              <w:spacing w:after="0" w:line="252" w:lineRule="auto"/>
              <w:jc w:val="center"/>
            </w:pPr>
            <w:r>
              <w:rPr>
                <w:rFonts w:ascii="Times New Roman" w:hAnsi="Times New Roman" w:eastAsia="Microsoft JhengHei"/>
                <w:b/>
                <w:i w:val="0"/>
                <w:sz w:val="18"/>
              </w:rPr>
              <w:t>Model / Serial</w:t>
              <w:br/>
              <w:t>型號 / 序號</w:t>
            </w:r>
          </w:p>
        </w:tc>
        <w:tc>
          <w:tcPr>
            <w:tcW w:type="dxa" w:w="2304"/>
            <w:tcMar>
              <w:top w:w="80" w:type="dxa"/>
              <w:bottom w:w="80" w:type="dxa"/>
              <w:left w:w="80" w:type="dxa"/>
              <w:right w:w="80" w:type="dxa"/>
            </w:tcMar>
            <w:shd w:fill="F1F5F9"/>
            <w:tcBorders>
              <w:top w:val="single" w:sz="6" w:space="0" w:color="94A3B8"/>
              <w:left w:val="single" w:sz="6" w:space="0" w:color="CBD5E1"/>
              <w:bottom w:val="single" w:sz="6" w:space="0" w:color="94A3B8"/>
              <w:right w:val="single" w:sz="6" w:space="0" w:color="CBD5E1"/>
            </w:tcBorders>
          </w:tcPr>
          <w:p>
            <w:pPr>
              <w:spacing w:after="0" w:line="252" w:lineRule="auto"/>
              <w:jc w:val="center"/>
            </w:pPr>
            <w:r>
              <w:rPr>
                <w:rFonts w:ascii="Times New Roman" w:hAnsi="Times New Roman" w:eastAsia="Microsoft JhengHei"/>
                <w:b/>
                <w:i w:val="0"/>
                <w:sz w:val="18"/>
              </w:rPr>
              <w:t>Hiện Tượng Lỗi &amp; Nội Dung Sửa</w:t>
              <w:br/>
              <w:t>故障現象與維修內容</w:t>
            </w:r>
          </w:p>
        </w:tc>
        <w:tc>
          <w:tcPr>
            <w:tcW w:type="dxa" w:w="864"/>
            <w:tcMar>
              <w:top w:w="80" w:type="dxa"/>
              <w:bottom w:w="80" w:type="dxa"/>
              <w:left w:w="80" w:type="dxa"/>
              <w:right w:w="80" w:type="dxa"/>
            </w:tcMar>
            <w:shd w:fill="F1F5F9"/>
            <w:tcBorders>
              <w:top w:val="single" w:sz="6" w:space="0" w:color="94A3B8"/>
              <w:left w:val="single" w:sz="6" w:space="0" w:color="CBD5E1"/>
              <w:bottom w:val="single" w:sz="6" w:space="0" w:color="94A3B8"/>
              <w:right w:val="single" w:sz="6" w:space="0" w:color="CBD5E1"/>
            </w:tcBorders>
          </w:tcPr>
          <w:p>
            <w:pPr>
              <w:spacing w:after="0" w:line="252" w:lineRule="auto"/>
              <w:jc w:val="center"/>
            </w:pPr>
            <w:r>
              <w:rPr>
                <w:rFonts w:ascii="Times New Roman" w:hAnsi="Times New Roman" w:eastAsia="Microsoft JhengHei"/>
                <w:b/>
                <w:i w:val="0"/>
                <w:sz w:val="18"/>
              </w:rPr>
              <w:t>Số Lượng</w:t>
              <w:br/>
              <w:t>數量</w:t>
            </w:r>
          </w:p>
        </w:tc>
        <w:tc>
          <w:tcPr>
            <w:tcW w:type="dxa" w:w="1440"/>
            <w:tcMar>
              <w:top w:w="80" w:type="dxa"/>
              <w:bottom w:w="80" w:type="dxa"/>
              <w:left w:w="80" w:type="dxa"/>
              <w:right w:w="80" w:type="dxa"/>
            </w:tcMar>
            <w:shd w:fill="F1F5F9"/>
            <w:tcBorders>
              <w:top w:val="single" w:sz="6" w:space="0" w:color="94A3B8"/>
              <w:left w:val="single" w:sz="6" w:space="0" w:color="CBD5E1"/>
              <w:bottom w:val="single" w:sz="6" w:space="0" w:color="94A3B8"/>
              <w:right w:val="single" w:sz="6" w:space="0" w:color="CBD5E1"/>
            </w:tcBorders>
          </w:tcPr>
          <w:p>
            <w:pPr>
              <w:spacing w:after="0" w:line="252" w:lineRule="auto"/>
              <w:jc w:val="center"/>
            </w:pPr>
            <w:r>
              <w:rPr>
                <w:rFonts w:ascii="Times New Roman" w:hAnsi="Times New Roman" w:eastAsia="Microsoft JhengHei"/>
                <w:b/>
                <w:i w:val="0"/>
                <w:sz w:val="18"/>
              </w:rPr>
              <w:t>Đơn Giá (VND)</w:t>
              <w:br/>
              <w:t>單價</w:t>
            </w:r>
          </w:p>
        </w:tc>
        <w:tc>
          <w:tcPr>
            <w:tcW w:type="dxa" w:w="1584"/>
            <w:tcMar>
              <w:top w:w="80" w:type="dxa"/>
              <w:bottom w:w="80" w:type="dxa"/>
              <w:left w:w="80" w:type="dxa"/>
              <w:right w:w="80" w:type="dxa"/>
            </w:tcMar>
            <w:shd w:fill="F1F5F9"/>
            <w:tcBorders>
              <w:top w:val="single" w:sz="6" w:space="0" w:color="94A3B8"/>
              <w:left w:val="single" w:sz="6" w:space="0" w:color="CBD5E1"/>
              <w:bottom w:val="single" w:sz="6" w:space="0" w:color="94A3B8"/>
              <w:right w:val="single" w:sz="6" w:space="0" w:color="CBD5E1"/>
            </w:tcBorders>
          </w:tcPr>
          <w:p>
            <w:pPr>
              <w:spacing w:after="0" w:line="252" w:lineRule="auto"/>
              <w:jc w:val="center"/>
            </w:pPr>
            <w:r>
              <w:rPr>
                <w:rFonts w:ascii="Times New Roman" w:hAnsi="Times New Roman" w:eastAsia="Microsoft JhengHei"/>
                <w:b/>
                <w:i w:val="0"/>
                <w:sz w:val="18"/>
              </w:rPr>
              <w:t>Thành Tiền (VND)</w:t>
              <w:br/>
              <w:t>總價</w:t>
            </w:r>
          </w:p>
        </w:tc>
      </w:tr>
      <w:tr>
        <w:tc>
          <w:tcPr>
            <w:tcW w:type="dxa" w:w="576"/>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after="0"/>
              <w:jc w:val="center"/>
            </w:pPr>
            <w:r>
              <w:rPr>
                <w:rFonts w:ascii="Times New Roman" w:hAnsi="Times New Roman" w:eastAsia="Microsoft JhengHei"/>
                <w:b w:val="0"/>
                <w:i w:val="0"/>
                <w:sz w:val="19"/>
              </w:rPr>
              <w:t>1</w:t>
            </w:r>
          </w:p>
        </w:tc>
        <w:tc>
          <w:tcPr>
            <w:tcW w:type="dxa" w:w="3312"/>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eastAsia="Microsoft JhengHei"/>
                <w:b/>
                <w:i w:val="0"/>
                <w:sz w:val="19"/>
              </w:rPr>
              <w:t>Máy tính công nghiệp IPC Advantech / 研華工控機</w:t>
            </w:r>
          </w:p>
        </w:tc>
        <w:tc>
          <w:tcPr>
            <w:tcW w:type="dxa" w:w="1584"/>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after="0"/>
              <w:jc w:val="center"/>
            </w:pPr>
            <w:r>
              <w:rPr>
                <w:rFonts w:ascii="Times New Roman" w:hAnsi="Times New Roman" w:eastAsia="Microsoft JhengHei"/>
                <w:b w:val="0"/>
                <w:i w:val="0"/>
                <w:sz w:val="18"/>
              </w:rPr>
              <w:t>IPC-610H / SN: CX202401</w:t>
            </w:r>
          </w:p>
        </w:tc>
        <w:tc>
          <w:tcPr>
            <w:tcW w:type="dxa" w:w="2304"/>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after="0" w:line="264" w:lineRule="auto"/>
              <w:jc w:val="left"/>
            </w:pPr>
            <w:r>
              <w:rPr>
                <w:rFonts w:ascii="Times New Roman" w:hAnsi="Times New Roman" w:eastAsia="Microsoft JhengHei"/>
                <w:b w:val="0"/>
                <w:i w:val="0"/>
                <w:sz w:val="17"/>
              </w:rPr>
              <w:t>Thay nguồn ATX 400W &amp; vệ sinh tản nhiệt</w:t>
            </w:r>
          </w:p>
        </w:tc>
        <w:tc>
          <w:tcPr>
            <w:tcW w:type="dxa" w:w="864"/>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after="0"/>
              <w:jc w:val="center"/>
            </w:pPr>
            <w:r>
              <w:rPr>
                <w:rFonts w:ascii="Times New Roman" w:hAnsi="Times New Roman" w:eastAsia="Microsoft JhengHei"/>
                <w:b w:val="0"/>
                <w:i w:val="0"/>
                <w:sz w:val="19"/>
              </w:rPr>
              <w:t>2</w:t>
            </w:r>
          </w:p>
        </w:tc>
        <w:tc>
          <w:tcPr>
            <w:tcW w:type="dxa" w:w="1440"/>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after="0"/>
              <w:jc w:val="right"/>
            </w:pPr>
            <w:r>
              <w:rPr>
                <w:rFonts w:ascii="Times New Roman" w:hAnsi="Times New Roman" w:eastAsia="Microsoft JhengHei"/>
                <w:b w:val="0"/>
                <w:i w:val="0"/>
                <w:sz w:val="19"/>
              </w:rPr>
              <w:t>6.800.000</w:t>
            </w:r>
          </w:p>
        </w:tc>
        <w:tc>
          <w:tcPr>
            <w:tcW w:type="dxa" w:w="1584"/>
            <w:tcMar>
              <w:top w:w="60" w:type="dxa"/>
              <w:bottom w:w="60" w:type="dxa"/>
              <w:left w:w="70" w:type="dxa"/>
              <w:right w:w="70" w:type="dxa"/>
            </w:tcMar>
            <w:tcBorders>
              <w:top w:val="single" w:sz="4" w:space="0" w:color="E2E8F0"/>
              <w:left w:val="single" w:sz="4" w:space="0" w:color="E2E8F0"/>
              <w:bottom w:val="single" w:sz="4" w:space="0" w:color="E2E8F0"/>
              <w:right w:val="single" w:sz="4" w:space="0" w:color="E2E8F0"/>
            </w:tcBorders>
          </w:tcPr>
          <w:p>
            <w:pPr>
              <w:spacing w:after="0"/>
              <w:jc w:val="right"/>
            </w:pPr>
            <w:r>
              <w:rPr>
                <w:rFonts w:ascii="Times New Roman" w:hAnsi="Times New Roman" w:eastAsia="Microsoft JhengHei"/>
                <w:b/>
                <w:i w:val="0"/>
                <w:sz w:val="19"/>
              </w:rPr>
              <w:t>13.600.000</w:t>
            </w:r>
          </w:p>
        </w:tc>
      </w:tr>
      <w:tr>
        <w:tc>
          <w:tcPr>
            <w:tcW w:type="dxa" w:w="8022"/>
            <w:gridSpan w:val="6"/>
            <w:shd w:fill="F8FAFC"/>
            <w:tcMar>
              <w:top w:w="80" w:type="dxa"/>
              <w:bottom w:w="80" w:type="dxa"/>
              <w:left w:w="100" w:type="dxa"/>
              <w:right w:w="100" w:type="dxa"/>
            </w:tcMar>
            <w:tcBorders>
              <w:top w:val="single" w:sz="6" w:space="0" w:color="94A3B8"/>
              <w:left w:val="single" w:sz="6" w:space="0" w:color="CBD5E1"/>
              <w:bottom w:val="single" w:sz="6" w:space="0" w:color="94A3B8"/>
              <w:right w:val="single" w:sz="6" w:space="0" w:color="CBD5E1"/>
            </w:tcBorders>
          </w:tcPr>
          <w:p>
            <w:pPr>
              <w:spacing w:after="0"/>
              <w:jc w:val="right"/>
            </w:pPr>
            <w:r>
              <w:rPr>
                <w:rFonts w:ascii="Times New Roman" w:hAnsi="Times New Roman" w:eastAsia="Microsoft JhengHei"/>
                <w:b/>
                <w:i w:val="0"/>
                <w:sz w:val="20"/>
              </w:rPr>
              <w:t>TỔNG CHI PHÍ SỬA CHỮA (VND) / 維修總費用：</w:t>
            </w:r>
          </w:p>
        </w:tc>
        <w:tc>
          <w:tcPr>
            <w:tcW w:type="dxa" w:w="1337"/>
            <w:shd w:fill="F8FAFC"/>
            <w:tcMar>
              <w:top w:w="80" w:type="dxa"/>
              <w:bottom w:w="80" w:type="dxa"/>
              <w:left w:w="70" w:type="dxa"/>
              <w:right w:w="70" w:type="dxa"/>
            </w:tcMar>
            <w:tcBorders>
              <w:top w:val="single" w:sz="6" w:space="0" w:color="94A3B8"/>
              <w:left w:val="single" w:sz="6" w:space="0" w:color="CBD5E1"/>
              <w:bottom w:val="single" w:sz="6" w:space="0" w:color="94A3B8"/>
              <w:right w:val="single" w:sz="6" w:space="0" w:color="CBD5E1"/>
            </w:tcBorders>
          </w:tcPr>
          <w:p>
            <w:pPr>
              <w:spacing w:after="0"/>
              <w:jc w:val="right"/>
            </w:pPr>
            <w:r>
              <w:rPr>
                <w:rFonts w:ascii="Times New Roman" w:hAnsi="Times New Roman" w:eastAsia="Microsoft JhengHei"/>
                <w:b/>
                <w:i w:val="0"/>
                <w:color w:val="1D4ED8"/>
                <w:sz w:val="21"/>
              </w:rPr>
              <w:t>13.600.000 VND</w:t>
            </w:r>
          </w:p>
        </w:tc>
      </w:tr>
    </w:tbl>
    <w:p>
      <w:pPr>
        <w:spacing w:before="120" w:after="240" w:line="288" w:lineRule="auto"/>
      </w:pPr>
      <w:r>
        <w:rPr>
          <w:rFonts w:ascii="Times New Roman" w:hAnsi="Times New Roman" w:eastAsia="Microsoft JhengHei"/>
          <w:b/>
          <w:i w:val="0"/>
          <w:color w:val="0F172A"/>
          <w:sz w:val="20"/>
        </w:rPr>
        <w:t>• Bằng chữ tiếng Việt / 越文大寫：Mười ba triệu sáu trăm nghìn đồng chẵn.</w:t>
        <w:br/>
        <w:t>• Bằng chữ tiếng Trung / 中文大寫：越南盾壹仟參佰陸拾萬整</w:t>
      </w:r>
    </w:p>
    <w:p>
      <w:pPr>
        <w:spacing w:after="80"/>
      </w:pPr>
      <w:r>
        <w:rPr>
          <w:rFonts w:ascii="Times New Roman" w:hAnsi="Times New Roman" w:eastAsia="Microsoft JhengHei"/>
          <w:b/>
          <w:i w:val="0"/>
          <w:sz w:val="22"/>
        </w:rPr>
        <w:t>ĐIỀU 2: ĐỊA ĐIỂM, THỜI HẠN THỰC HIỆN VÀ BÀN GIAO / 第二條：維修地點、履行期限與交付</w:t>
      </w:r>
    </w:p>
    <w:p>
      <w:pPr>
        <w:spacing w:after="200" w:line="288" w:lineRule="auto"/>
        <w:ind w:left="288"/>
      </w:pPr>
      <w:r>
        <w:rPr>
          <w:rFonts w:ascii="Times New Roman" w:hAnsi="Times New Roman" w:eastAsia="Microsoft JhengHei"/>
          <w:b w:val="0"/>
          <w:i w:val="0"/>
          <w:sz w:val="21"/>
        </w:rPr>
        <w:t>1. Địa điểm tiếp nhận &amp; sửa chữa / 接收與維修地點：Tại xưởng sản xuất Bên A</w:t>
        <w:br/>
        <w:t>2. Thời hạn hoàn thành / 完成期限：Trong vòng 10 ngày làm việc kể từ ngày Bên A bàn giao thiết bị hoặc hoàn tất tạm ứng.</w:t>
        <w:br/>
        <w:t xml:space="preserve">   自甲方交付待修設備或完成預付款之日起 10 個工作日內完成。</w:t>
        <w:br/>
        <w:t>3. Sau khi sửa chữa xong, Bên B tiến hành chạy thử và bàn giao lại cho Bên A. Hai bên ký Biên bản kiểm tra &amp; nghiệm thu thiết bị sau sửa chữa làm căn cứ thanh toán và bảo hành.</w:t>
        <w:br/>
        <w:t xml:space="preserve">   維修完成後，乙方進行運轉測試並交付甲方。雙方共同簽署《設備維修驗收記錄確認書》作為付款及保固之依據。</w:t>
      </w:r>
    </w:p>
    <w:p>
      <w:pPr>
        <w:spacing w:after="80"/>
      </w:pPr>
      <w:r>
        <w:rPr>
          <w:rFonts w:ascii="Times New Roman" w:hAnsi="Times New Roman" w:eastAsia="Microsoft JhengHei"/>
          <w:b/>
          <w:i w:val="0"/>
          <w:sz w:val="22"/>
        </w:rPr>
        <w:t>ĐIỀU 3: PHƯƠNG THỨC &amp; TIẾN ĐỘ THANH TOÁN / 第三條：付款方式與進度</w:t>
      </w:r>
    </w:p>
    <w:p>
      <w:pPr>
        <w:spacing w:after="120" w:line="288" w:lineRule="auto"/>
        <w:ind w:left="288"/>
      </w:pPr>
      <w:r>
        <w:rPr>
          <w:rFonts w:ascii="Times New Roman" w:hAnsi="Times New Roman" w:eastAsia="Microsoft JhengHei"/>
          <w:b w:val="0"/>
          <w:i w:val="0"/>
          <w:sz w:val="21"/>
        </w:rPr>
        <w:t>Hình thức thanh toán: Chuyển khoản ngân hàng (T/T). Tiến độ chi tiết như sau: / 付款方式：銀行電匯 (T/T)，具體進度如下：</w:t>
        <w:br/>
        <w:t>• Đợt 1 (50% - 6.800.000 VND): Thanh toán tạm ứng 50% ngay sau khi ký HĐ (Thời hạn T/T: 0 ngày)</w:t>
        <w:br/>
        <w:t xml:space="preserve">  第 1 期 (50% - 6.800.000 VND)：雙方簽約後即期支付 50%</w:t>
        <w:br/>
        <w:t>• Đợt 2 (50% - 6.800.000 VND): Thanh toán 50% còn lại sau khi nghiệm thu đạt (Thời hạn T/T: 30 ngày)</w:t>
        <w:br/>
        <w:t xml:space="preserve">  第 2 期 (50% - 6.800.000 VND)：設備維修完成並簽署驗收文件後支付 50%</w:t>
      </w:r>
    </w:p>
    <w:p>
      <w:pPr>
        <w:spacing w:before="120" w:after="80"/>
      </w:pPr>
      <w:r>
        <w:rPr>
          <w:rFonts w:ascii="Times New Roman" w:hAnsi="Times New Roman" w:eastAsia="Microsoft JhengHei"/>
          <w:b/>
          <w:i w:val="0"/>
          <w:sz w:val="22"/>
        </w:rPr>
        <w:t>ĐIỀU 4: CHẾ ĐỘ BẢO HÀNH SAU SỬA CHỮA / 第四條：維修保固條款</w:t>
      </w:r>
    </w:p>
    <w:p>
      <w:pPr>
        <w:spacing w:after="240" w:line="288" w:lineRule="auto"/>
        <w:ind w:left="288"/>
      </w:pPr>
      <w:r>
        <w:rPr>
          <w:rFonts w:ascii="Times New Roman" w:hAnsi="Times New Roman" w:eastAsia="Microsoft JhengHei"/>
          <w:b w:val="0"/>
          <w:i w:val="0"/>
          <w:sz w:val="21"/>
        </w:rPr>
        <w:t>1. Thời hạn bảo hành / 保固期限：6 tháng kể từ ngày ký Biên bản nghiệm thu thiết bị sau sửa chữa.</w:t>
        <w:br/>
        <w:t xml:space="preserve">   自簽署《設備維修驗收記錄確認書》之日起 6 個月。</w:t>
        <w:br/>
        <w:t>2. Phạm vi bảo hành / 保固範圍：Bên B cam kết bảo hành miễn phí đối với các linh kiện đã thay thế và các lỗi kỹ thuật đã được khắc phục. Không bảo hành các lỗi do vận hành sai kỹ thuật, cháy nổ nguồn điện ngoại cảnh hoặc sự can thiệp của bên thứ ba.</w:t>
        <w:br/>
        <w:t xml:space="preserve">   乙方承諾對已更換之零件及已排除之故障提供免費保固。人為操作不當、外部電壓異常或第三方擅自拆修則不在此限。</w:t>
      </w:r>
    </w:p>
    <w:p>
      <w:pPr>
        <w:spacing w:after="120"/>
      </w:pPr>
      <w:r>
        <w:rPr>
          <w:rFonts w:ascii="Times New Roman" w:hAnsi="Times New Roman" w:eastAsia="Microsoft JhengHei"/>
          <w:b w:val="0"/>
          <w:i/>
          <w:sz w:val="20"/>
        </w:rPr>
        <w:t>HỢP ĐỒNG ĐƯỢC LẬP THÀNH 02 BẢN CÓ GIÁ TRỊ PHÁP LÝ NHƯ NHAU, MỖI BÊN GIỮ 01 BẢN.</w:t>
        <w:br/>
        <w:t>本合約一式兩份，具有同等法律效力，雙方各執一份。</w:t>
      </w:r>
    </w:p>
    <w:tbl>
      <w:tblPr>
        <w:tblW w:type="auto" w:w="0"/>
        <w:jc w:val="center"/>
        <w:tblLayout w:type="fixed"/>
        <w:tblLook w:firstColumn="1" w:firstRow="1" w:lastColumn="0" w:lastRow="0" w:noHBand="0" w:noVBand="1" w:val="04A0"/>
      </w:tblPr>
      <w:tblGrid>
        <w:gridCol w:w="4680"/>
        <w:gridCol w:w="4680"/>
      </w:tblGrid>
      <w:tr>
        <w:tc>
          <w:tcPr>
            <w:tcW w:type="dxa" w:w="5040"/>
            <w:tcBorders>
              <w:top w:val="none"/>
              <w:left w:val="none"/>
              <w:bottom w:val="none"/>
              <w:right w:val="none"/>
            </w:tcBorders>
          </w:tcPr>
          <w:p>
            <w:pPr>
              <w:spacing w:after="40"/>
              <w:jc w:val="center"/>
            </w:pPr>
            <w:r>
              <w:rPr>
                <w:rFonts w:ascii="Times New Roman" w:hAnsi="Times New Roman" w:eastAsia="Microsoft JhengHei"/>
                <w:b/>
                <w:i w:val="0"/>
                <w:sz w:val="21"/>
              </w:rPr>
              <w:t>ĐẠI DIỆN BÊN A / 甲方代表</w:t>
              <w:br/>
              <w:t>(Ký tên &amp; đóng dấu / 簽署與蓋章)</w:t>
            </w:r>
          </w:p>
        </w:tc>
        <w:tc>
          <w:tcPr>
            <w:tcW w:type="dxa" w:w="5040"/>
            <w:tcBorders>
              <w:top w:val="none"/>
              <w:left w:val="none"/>
              <w:bottom w:val="none"/>
              <w:right w:val="none"/>
            </w:tcBorders>
          </w:tcPr>
          <w:p>
            <w:pPr>
              <w:spacing w:after="40"/>
              <w:jc w:val="center"/>
            </w:pPr>
            <w:r>
              <w:rPr>
                <w:rFonts w:ascii="Times New Roman" w:hAnsi="Times New Roman" w:eastAsia="Microsoft JhengHei"/>
                <w:b/>
                <w:i w:val="0"/>
                <w:sz w:val="21"/>
              </w:rPr>
              <w:t>ĐẠI DIỆN BÊN B / 乙方代表</w:t>
              <w:br/>
              <w:t>(Ký tên &amp; đóng dấu / 簽署與蓋章)</w:t>
            </w:r>
          </w:p>
        </w:tc>
      </w:tr>
      <w:tr>
        <w:tc>
          <w:tcPr>
            <w:tcW w:type="dxa" w:w="5040"/>
            <w:tcBorders>
              <w:top w:val="none"/>
              <w:left w:val="none"/>
              <w:bottom w:val="none"/>
              <w:right w:val="none"/>
            </w:tcBorders>
          </w:tcPr>
          <w:p>
            <w:pPr>
              <w:spacing w:before="900" w:after="0"/>
              <w:jc w:val="center"/>
            </w:pPr>
            <w:r>
              <w:rPr>
                <w:rFonts w:ascii="Times New Roman" w:hAnsi="Times New Roman" w:eastAsia="Microsoft JhengHei"/>
                <w:b/>
                <w:i w:val="0"/>
                <w:sz w:val="22"/>
              </w:rPr>
              <w:t>CHEN CHEN-YEN</w:t>
            </w:r>
          </w:p>
        </w:tc>
        <w:tc>
          <w:tcPr>
            <w:tcW w:type="dxa" w:w="5040"/>
            <w:tcBorders>
              <w:top w:val="none"/>
              <w:left w:val="none"/>
              <w:bottom w:val="none"/>
              <w:right w:val="none"/>
            </w:tcBorders>
          </w:tcPr>
          <w:p>
            <w:pPr>
              <w:spacing w:before="900" w:after="0"/>
              <w:jc w:val="center"/>
            </w:pPr>
            <w:r>
              <w:rPr>
                <w:rFonts w:ascii="Times New Roman" w:hAnsi="Times New Roman" w:eastAsia="Microsoft JhengHei"/>
                <w:b/>
                <w:i w:val="0"/>
                <w:sz w:val="22"/>
              </w:rPr>
              <w:t>TANG WEI LI</w:t>
            </w:r>
          </w:p>
        </w:tc>
      </w:tr>
    </w:tbl>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