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378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2112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112645"/>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UC12.</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Statistics.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highlight w:val="white"/>
                <w:u w:val="none"/>
                <w:effect w:val="none"/>
              </w:rPr>
              <w:t>Chức năng này cho phép bạn quản lý cũng như xem lại thống kê tất cả các hoạt động của mình như số lượng tất cả các task, thời lượng sử dụng app trung bình, tần suất sử dụng pomodoro,...</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Truy cập vào “More actions” của menu.</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mục các tùy chọn.</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Người dùng nhấp chọn “Using app statistics” </w:t>
            </w:r>
            <w:r>
              <w:rPr>
                <w:rFonts w:ascii="Calibri" w:hAnsi="Calibri"/>
                <w:b/>
                <w:bCs/>
                <w:i w:val="false"/>
                <w:iCs w:val="false"/>
                <w:strike w:val="false"/>
                <w:dstrike w:val="false"/>
                <w:outline w:val="false"/>
                <w:shadow w:val="false"/>
                <w:color w:val="000000"/>
                <w:sz w:val="26"/>
                <w:szCs w:val="26"/>
                <w:u w:val="none"/>
              </w:rPr>
              <w:t>A1, A2</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thống kê thời gian sử phần mềm của người dùng.</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A1 </w:t>
            </w:r>
            <w:r>
              <w:rPr>
                <w:rFonts w:ascii="Calibri" w:hAnsi="Calibri"/>
                <w:b w:val="false"/>
                <w:bCs w:val="false"/>
                <w:i w:val="false"/>
                <w:iCs w:val="false"/>
                <w:strike w:val="false"/>
                <w:dstrike w:val="false"/>
                <w:outline w:val="false"/>
                <w:shadow w:val="false"/>
                <w:color w:val="000000"/>
                <w:sz w:val="26"/>
                <w:szCs w:val="26"/>
                <w:u w:val="none"/>
              </w:rPr>
              <w:t>Người dùng nhấp chọn “Pomodoro statistics” để hiển thị thống kê việc sử dụng Pomodoro.</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2</w:t>
            </w:r>
            <w:r>
              <w:rPr>
                <w:rFonts w:ascii="Calibri" w:hAnsi="Calibri"/>
                <w:b/>
                <w:bCs/>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ml:space="preserve">Người dùng nhấp chọn “All task statistics” rồi nhấp chọn “Completed task statistics” để xem thống kê các tất cả các task đã hoàn thành </w:t>
            </w: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3</w:t>
            </w:r>
            <w:r>
              <w:rPr>
                <w:rFonts w:ascii="Calibri" w:hAnsi="Calibri"/>
                <w:b/>
                <w:bCs/>
                <w:i w:val="false"/>
                <w:iCs w:val="false"/>
                <w:strike w:val="false"/>
                <w:dstrike w:val="false"/>
                <w:outline w:val="false"/>
                <w:shadow w:val="false"/>
                <w:color w:val="000000"/>
                <w:sz w:val="26"/>
                <w:szCs w:val="26"/>
                <w:u w:val="none"/>
              </w:rPr>
              <w:t>, A</w:t>
            </w:r>
            <w:r>
              <w:rPr>
                <w:rFonts w:ascii="Calibri" w:hAnsi="Calibri"/>
                <w:b/>
                <w:bCs/>
                <w:i w:val="false"/>
                <w:iCs w:val="false"/>
                <w:strike w:val="false"/>
                <w:dstrike w:val="false"/>
                <w:outline w:val="false"/>
                <w:shadow w:val="false"/>
                <w:color w:val="000000"/>
                <w:sz w:val="26"/>
                <w:szCs w:val="26"/>
                <w:u w:val="none"/>
              </w:rPr>
              <w:t>4</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3</w:t>
            </w:r>
            <w:r>
              <w:rPr>
                <w:rFonts w:ascii="Calibri" w:hAnsi="Calibri"/>
                <w:b/>
                <w:bCs/>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Người dùng nhấp chọn “All task statistics” rồi nhấp chọn “Deadline task statistics” để xem thống kê các tất cả các task sắp hết hạn.</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4</w:t>
            </w:r>
            <w:r>
              <w:rPr>
                <w:rFonts w:ascii="Calibri" w:hAnsi="Calibri"/>
                <w:b/>
                <w:bCs/>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Người dùng nhấp chọn “All task statistics” rồi nhấp chọn “Tag task statistics” để xem thống kê các tất cả các task có phân loại.</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sz w:val="26"/>
                <w:szCs w:val="26"/>
              </w:rPr>
            </w:pPr>
            <w:r>
              <w:rPr>
                <w:rFonts w:ascii="Calibri" w:hAnsi="Calibri"/>
                <w:b w:val="false"/>
                <w:bCs w:val="false"/>
                <w:sz w:val="26"/>
                <w:szCs w:val="26"/>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thống kê lại hoạt động của mình trong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đã có các hoạt động trong phần mềm.</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Phải đăng nhập vào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Thống kê thành công hoạt động của người dùng trong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rHeight w:val="10005" w:hRule="atLeast"/>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7110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0280" cy="7110095"/>
                          </a:xfrm>
                          <a:prstGeom prst="rect">
                            <a:avLst/>
                          </a:prstGeom>
                        </pic:spPr>
                      </pic:pic>
                    </a:graphicData>
                  </a:graphic>
                </wp:anchor>
              </w:drawing>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405</TotalTime>
  <Application>LibreOffice/6.4.6.2$Linux_X86_64 LibreOffice_project/40$Build-2</Application>
  <Pages>3</Pages>
  <Words>264</Words>
  <Characters>1181</Characters>
  <CharactersWithSpaces>1405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2020-12-01T22:58:07Z</dcterms:modified>
  <cp:revision>64</cp:revision>
  <dc:subject/>
  <dc:title/>
</cp:coreProperties>
</file>