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3BAC0" w14:textId="77777777" w:rsidR="00171F4C" w:rsidRPr="00AA2458" w:rsidRDefault="00171F4C" w:rsidP="00171F4C">
      <w:pPr>
        <w:pStyle w:val="Prrafodelista"/>
        <w:ind w:left="2844" w:firstLine="696"/>
        <w:rPr>
          <w:rFonts w:cstheme="minorHAnsi"/>
          <w:b/>
          <w:sz w:val="36"/>
          <w:szCs w:val="36"/>
        </w:rPr>
      </w:pPr>
      <w:bookmarkStart w:id="0" w:name="_Hlk219546229"/>
      <w:r>
        <w:rPr>
          <w:rFonts w:cstheme="minorHAnsi"/>
          <w:b/>
          <w:sz w:val="36"/>
          <w:szCs w:val="36"/>
        </w:rPr>
        <w:t>ACTA DE REUNIÓN</w:t>
      </w:r>
    </w:p>
    <w:p w14:paraId="3E502F0B" w14:textId="77777777" w:rsidR="00171F4C" w:rsidRPr="00AA2458" w:rsidRDefault="00171F4C" w:rsidP="00171F4C">
      <w:pPr>
        <w:pStyle w:val="Prrafodelista"/>
        <w:numPr>
          <w:ilvl w:val="0"/>
          <w:numId w:val="6"/>
        </w:numPr>
        <w:jc w:val="center"/>
        <w:rPr>
          <w:rFonts w:cstheme="minorHAnsi"/>
          <w:b/>
          <w:sz w:val="4"/>
          <w:szCs w:val="4"/>
        </w:rPr>
      </w:pPr>
    </w:p>
    <w:tbl>
      <w:tblPr>
        <w:tblStyle w:val="Tablaconcuadrcula"/>
        <w:tblW w:w="849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000" w:firstRow="0" w:lastRow="0" w:firstColumn="0" w:lastColumn="0" w:noHBand="0" w:noVBand="0"/>
      </w:tblPr>
      <w:tblGrid>
        <w:gridCol w:w="1067"/>
        <w:gridCol w:w="7424"/>
      </w:tblGrid>
      <w:tr w:rsidR="00171F4C" w:rsidRPr="00321BA0" w14:paraId="37CE84A8" w14:textId="77777777" w:rsidTr="002E3F45">
        <w:trPr>
          <w:trHeight w:val="32"/>
          <w:jc w:val="center"/>
        </w:trPr>
        <w:tc>
          <w:tcPr>
            <w:tcW w:w="0" w:type="auto"/>
            <w:shd w:val="clear" w:color="auto" w:fill="F2F2F2" w:themeFill="background1" w:themeFillShade="F2"/>
          </w:tcPr>
          <w:p w14:paraId="252983ED" w14:textId="77777777" w:rsidR="00171F4C" w:rsidRPr="0020048A" w:rsidRDefault="00171F4C" w:rsidP="002C0581">
            <w:pPr>
              <w:ind w:left="30"/>
              <w:rPr>
                <w:rFonts w:ascii="Calibri" w:hAnsi="Calibri" w:cs="Calibri"/>
                <w:b/>
                <w:sz w:val="24"/>
                <w:szCs w:val="24"/>
              </w:rPr>
            </w:pPr>
            <w:r w:rsidRPr="0020048A">
              <w:rPr>
                <w:rFonts w:ascii="Calibri" w:hAnsi="Calibri" w:cs="Calibri"/>
                <w:b/>
                <w:sz w:val="24"/>
                <w:szCs w:val="24"/>
              </w:rPr>
              <w:t>Áreas:</w:t>
            </w:r>
          </w:p>
        </w:tc>
        <w:tc>
          <w:tcPr>
            <w:tcW w:w="7424" w:type="dxa"/>
            <w:shd w:val="clear" w:color="auto" w:fill="F2F2F2" w:themeFill="background1" w:themeFillShade="F2"/>
          </w:tcPr>
          <w:p w14:paraId="44B6E726" w14:textId="436DA647" w:rsidR="00171F4C" w:rsidRPr="0020048A" w:rsidRDefault="002E3F45" w:rsidP="002C0581">
            <w:pPr>
              <w:pStyle w:val="toa"/>
              <w:tabs>
                <w:tab w:val="clear" w:pos="9000"/>
                <w:tab w:val="clear" w:pos="9360"/>
              </w:tabs>
              <w:rPr>
                <w:rFonts w:ascii="Calibri" w:hAnsi="Calibri" w:cs="Calibri"/>
                <w:b/>
                <w:bCs/>
                <w:sz w:val="24"/>
                <w:szCs w:val="24"/>
                <w:lang w:val="es-BO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  <w:lang w:val="es-BO"/>
              </w:rPr>
              <w:t>10 áreas de recepciones de la Clínica</w:t>
            </w:r>
            <w:r w:rsidR="00A03CF3">
              <w:rPr>
                <w:rFonts w:ascii="Calibri" w:hAnsi="Calibri" w:cs="Calibri"/>
                <w:b/>
                <w:bCs/>
                <w:sz w:val="24"/>
                <w:szCs w:val="24"/>
                <w:lang w:val="es-BO"/>
              </w:rPr>
              <w:t xml:space="preserve"> </w:t>
            </w:r>
            <w:proofErr w:type="spellStart"/>
            <w:r w:rsidR="00A03CF3">
              <w:rPr>
                <w:rFonts w:ascii="Calibri" w:hAnsi="Calibri" w:cs="Calibri"/>
                <w:b/>
                <w:bCs/>
                <w:sz w:val="24"/>
                <w:szCs w:val="24"/>
                <w:lang w:val="es-BO"/>
              </w:rPr>
              <w:t>Foianini</w:t>
            </w:r>
            <w:proofErr w:type="spellEnd"/>
          </w:p>
        </w:tc>
      </w:tr>
      <w:tr w:rsidR="00171F4C" w:rsidRPr="00321BA0" w14:paraId="28A40ABE" w14:textId="77777777" w:rsidTr="002E3F45">
        <w:trPr>
          <w:trHeight w:val="32"/>
          <w:jc w:val="center"/>
        </w:trPr>
        <w:tc>
          <w:tcPr>
            <w:tcW w:w="0" w:type="auto"/>
            <w:shd w:val="clear" w:color="auto" w:fill="F2F2F2" w:themeFill="background1" w:themeFillShade="F2"/>
          </w:tcPr>
          <w:p w14:paraId="08C3F16F" w14:textId="77777777" w:rsidR="00171F4C" w:rsidRPr="0020048A" w:rsidRDefault="00171F4C" w:rsidP="002C0581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20048A">
              <w:rPr>
                <w:rFonts w:ascii="Calibri" w:hAnsi="Calibri" w:cs="Calibri"/>
                <w:b/>
                <w:sz w:val="24"/>
                <w:szCs w:val="24"/>
              </w:rPr>
              <w:t>Fecha:</w:t>
            </w:r>
          </w:p>
        </w:tc>
        <w:tc>
          <w:tcPr>
            <w:tcW w:w="7424" w:type="dxa"/>
            <w:shd w:val="clear" w:color="auto" w:fill="F2F2F2" w:themeFill="background1" w:themeFillShade="F2"/>
          </w:tcPr>
          <w:p w14:paraId="6011DEFA" w14:textId="1375D84C" w:rsidR="002E3F45" w:rsidRPr="0020048A" w:rsidRDefault="00171F4C" w:rsidP="002C0581">
            <w:pPr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09 de abril del</w:t>
            </w:r>
            <w:r>
              <w:rPr>
                <w:rFonts w:ascii="Calibri" w:hAnsi="Calibri" w:cs="Calibri"/>
                <w:b/>
                <w:sz w:val="24"/>
                <w:szCs w:val="24"/>
              </w:rPr>
              <w:t xml:space="preserve"> 2026</w:t>
            </w:r>
          </w:p>
        </w:tc>
      </w:tr>
      <w:tr w:rsidR="002E3F45" w:rsidRPr="00321BA0" w14:paraId="12923688" w14:textId="77777777" w:rsidTr="002E3F45">
        <w:trPr>
          <w:trHeight w:val="32"/>
          <w:jc w:val="center"/>
        </w:trPr>
        <w:tc>
          <w:tcPr>
            <w:tcW w:w="0" w:type="auto"/>
            <w:shd w:val="clear" w:color="auto" w:fill="F2F2F2" w:themeFill="background1" w:themeFillShade="F2"/>
          </w:tcPr>
          <w:p w14:paraId="473912A7" w14:textId="0EB91A37" w:rsidR="002E3F45" w:rsidRPr="0020048A" w:rsidRDefault="002E3F45" w:rsidP="002C0581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Hrs.:</w:t>
            </w:r>
          </w:p>
        </w:tc>
        <w:tc>
          <w:tcPr>
            <w:tcW w:w="7424" w:type="dxa"/>
            <w:shd w:val="clear" w:color="auto" w:fill="F2F2F2" w:themeFill="background1" w:themeFillShade="F2"/>
          </w:tcPr>
          <w:p w14:paraId="738D6615" w14:textId="67841E44" w:rsidR="002E3F45" w:rsidRPr="002E3F45" w:rsidRDefault="002E3F45" w:rsidP="002C0581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12:00 a 14:00 – 14:00 a 16:00</w:t>
            </w:r>
          </w:p>
        </w:tc>
      </w:tr>
      <w:tr w:rsidR="00171F4C" w:rsidRPr="00321BA0" w14:paraId="67440B3E" w14:textId="77777777" w:rsidTr="002E3F45">
        <w:trPr>
          <w:trHeight w:val="32"/>
          <w:jc w:val="center"/>
        </w:trPr>
        <w:tc>
          <w:tcPr>
            <w:tcW w:w="0" w:type="auto"/>
            <w:shd w:val="clear" w:color="auto" w:fill="F2F2F2" w:themeFill="background1" w:themeFillShade="F2"/>
          </w:tcPr>
          <w:p w14:paraId="383CE068" w14:textId="77777777" w:rsidR="00171F4C" w:rsidRPr="0020048A" w:rsidRDefault="00171F4C" w:rsidP="002C0581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20048A">
              <w:rPr>
                <w:rFonts w:ascii="Calibri" w:hAnsi="Calibri" w:cs="Calibri"/>
                <w:b/>
                <w:sz w:val="24"/>
                <w:szCs w:val="24"/>
              </w:rPr>
              <w:t>Asunto:</w:t>
            </w:r>
          </w:p>
        </w:tc>
        <w:tc>
          <w:tcPr>
            <w:tcW w:w="7424" w:type="dxa"/>
            <w:shd w:val="clear" w:color="auto" w:fill="F2F2F2" w:themeFill="background1" w:themeFillShade="F2"/>
          </w:tcPr>
          <w:p w14:paraId="1279D744" w14:textId="3835640C" w:rsidR="00171F4C" w:rsidRPr="0020048A" w:rsidRDefault="002E3F45" w:rsidP="002C0581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2E3F45">
              <w:rPr>
                <w:rFonts w:ascii="Calibri" w:hAnsi="Calibri" w:cs="Calibri"/>
                <w:b/>
                <w:sz w:val="24"/>
                <w:szCs w:val="24"/>
              </w:rPr>
              <w:t>Reunión Equipo de Ventas</w:t>
            </w:r>
            <w:r>
              <w:rPr>
                <w:rFonts w:ascii="Calibri" w:hAnsi="Calibri" w:cs="Calibri"/>
                <w:b/>
                <w:sz w:val="24"/>
                <w:szCs w:val="24"/>
              </w:rPr>
              <w:t xml:space="preserve"> - 2026</w:t>
            </w:r>
          </w:p>
        </w:tc>
      </w:tr>
      <w:bookmarkEnd w:id="0"/>
    </w:tbl>
    <w:p w14:paraId="62E10346" w14:textId="77777777" w:rsidR="00171F4C" w:rsidRDefault="00171F4C" w:rsidP="00547E10">
      <w:pPr>
        <w:spacing w:after="0" w:line="240" w:lineRule="auto"/>
        <w:ind w:left="720" w:hanging="360"/>
        <w:jc w:val="both"/>
      </w:pPr>
    </w:p>
    <w:p w14:paraId="6D070911" w14:textId="4C264C8E" w:rsidR="00171F4C" w:rsidRPr="002E3F45" w:rsidRDefault="002E3F45" w:rsidP="00171F4C">
      <w:pPr>
        <w:pStyle w:val="Prrafodelista"/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s-BO"/>
          <w14:ligatures w14:val="none"/>
        </w:rPr>
      </w:pPr>
      <w:r w:rsidRPr="002E3F45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s-BO"/>
          <w14:ligatures w14:val="none"/>
        </w:rPr>
        <w:t>PUNTOS TRATADOS:</w:t>
      </w:r>
    </w:p>
    <w:p w14:paraId="4EEF69BB" w14:textId="77777777" w:rsidR="002E3F45" w:rsidRDefault="002E3F45" w:rsidP="00171F4C">
      <w:pPr>
        <w:pStyle w:val="Prrafodelista"/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sz w:val="22"/>
          <w:szCs w:val="22"/>
          <w:lang w:eastAsia="es-BO"/>
          <w14:ligatures w14:val="none"/>
        </w:rPr>
      </w:pPr>
    </w:p>
    <w:p w14:paraId="71FBD917" w14:textId="6D478D5D" w:rsidR="00547E10" w:rsidRPr="002E3F45" w:rsidRDefault="00547E10" w:rsidP="00547E10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lang w:eastAsia="es-BO"/>
          <w14:ligatures w14:val="none"/>
        </w:rPr>
      </w:pPr>
      <w:r w:rsidRPr="002E3F45">
        <w:rPr>
          <w:rFonts w:ascii="Calibri" w:eastAsia="Times New Roman" w:hAnsi="Calibri" w:cs="Calibri"/>
          <w:color w:val="000000"/>
          <w:kern w:val="0"/>
          <w:lang w:eastAsia="es-BO"/>
          <w14:ligatures w14:val="none"/>
        </w:rPr>
        <w:t xml:space="preserve">Se recuerda que es obligatorio solicitar el documento de identidad del paciente, reconfirmar su número de celular y mantener actualizada la base de datos. </w:t>
      </w:r>
    </w:p>
    <w:p w14:paraId="7EB04581" w14:textId="77777777" w:rsidR="00171F4C" w:rsidRPr="002E3F45" w:rsidRDefault="00171F4C" w:rsidP="00171F4C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lang w:eastAsia="es-BO"/>
          <w14:ligatures w14:val="none"/>
        </w:rPr>
      </w:pPr>
      <w:r w:rsidRPr="002E3F45">
        <w:rPr>
          <w:rFonts w:ascii="Calibri" w:eastAsia="Times New Roman" w:hAnsi="Calibri" w:cs="Calibri"/>
          <w:color w:val="000000"/>
          <w:kern w:val="0"/>
          <w:lang w:eastAsia="es-BO"/>
          <w14:ligatures w14:val="none"/>
        </w:rPr>
        <w:t xml:space="preserve">Se detecta que cuando un paciente cuenta con seguro Alianza y se cambia a BISA, el sistema no permite la modificación y lo registra como paciente particular. </w:t>
      </w:r>
    </w:p>
    <w:p w14:paraId="65C42EE8" w14:textId="15C9F743" w:rsidR="00547E10" w:rsidRPr="002E3F45" w:rsidRDefault="00547E10" w:rsidP="00547E10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lang w:eastAsia="es-BO"/>
          <w14:ligatures w14:val="none"/>
        </w:rPr>
      </w:pPr>
      <w:r w:rsidRPr="002E3F45">
        <w:rPr>
          <w:rFonts w:ascii="Calibri" w:eastAsia="Times New Roman" w:hAnsi="Calibri" w:cs="Calibri"/>
          <w:color w:val="000000"/>
          <w:kern w:val="0"/>
          <w:lang w:eastAsia="es-BO"/>
          <w14:ligatures w14:val="none"/>
        </w:rPr>
        <w:t xml:space="preserve">Se establece como objetivo mantener un alto nivel de ventas, promoviendo el cobro anticipado de estudios y consultas. </w:t>
      </w:r>
    </w:p>
    <w:p w14:paraId="32485552" w14:textId="703DF1DB" w:rsidR="00547E10" w:rsidRPr="002E3F45" w:rsidRDefault="00547E10" w:rsidP="00547E10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lang w:eastAsia="es-BO"/>
          <w14:ligatures w14:val="none"/>
        </w:rPr>
      </w:pPr>
      <w:r w:rsidRPr="002E3F45">
        <w:rPr>
          <w:rFonts w:ascii="Calibri" w:eastAsia="Times New Roman" w:hAnsi="Calibri" w:cs="Calibri"/>
          <w:color w:val="000000"/>
          <w:kern w:val="0"/>
          <w:lang w:eastAsia="es-BO"/>
          <w14:ligatures w14:val="none"/>
        </w:rPr>
        <w:t xml:space="preserve">Se indica realizar el cobro anticipado de estudios como resonancias, ya que la inasistencia de los pacientes genera pérdida de turnos y afecta la atención de otros pacientes. </w:t>
      </w:r>
    </w:p>
    <w:p w14:paraId="1A8EC836" w14:textId="7738E527" w:rsidR="00547E10" w:rsidRPr="002E3F45" w:rsidRDefault="00547E10" w:rsidP="00547E10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lang w:eastAsia="es-BO"/>
          <w14:ligatures w14:val="none"/>
        </w:rPr>
      </w:pPr>
      <w:r w:rsidRPr="002E3F45">
        <w:rPr>
          <w:rFonts w:ascii="Calibri" w:eastAsia="Times New Roman" w:hAnsi="Calibri" w:cs="Calibri"/>
          <w:color w:val="000000"/>
          <w:kern w:val="0"/>
          <w:lang w:eastAsia="es-BO"/>
          <w14:ligatures w14:val="none"/>
        </w:rPr>
        <w:t xml:space="preserve">Se recuerda la importancia de utilizar la herramienta </w:t>
      </w:r>
      <w:r w:rsidR="002E3F45" w:rsidRPr="002E3F45">
        <w:rPr>
          <w:rFonts w:ascii="Calibri" w:eastAsia="Times New Roman" w:hAnsi="Calibri" w:cs="Calibri"/>
          <w:color w:val="000000"/>
          <w:kern w:val="0"/>
          <w:lang w:eastAsia="es-BO"/>
          <w14:ligatures w14:val="none"/>
        </w:rPr>
        <w:t>WolkVox</w:t>
      </w:r>
      <w:r w:rsidRPr="002E3F45">
        <w:rPr>
          <w:rFonts w:ascii="Calibri" w:eastAsia="Times New Roman" w:hAnsi="Calibri" w:cs="Calibri"/>
          <w:color w:val="000000"/>
          <w:kern w:val="0"/>
          <w:lang w:eastAsia="es-BO"/>
          <w14:ligatures w14:val="none"/>
        </w:rPr>
        <w:t xml:space="preserve"> para la medición de ventas; sin embargo, </w:t>
      </w:r>
      <w:r w:rsidR="00171F4C" w:rsidRPr="002E3F45">
        <w:rPr>
          <w:rFonts w:ascii="Calibri" w:eastAsia="Times New Roman" w:hAnsi="Calibri" w:cs="Calibri"/>
          <w:color w:val="000000"/>
          <w:kern w:val="0"/>
          <w:lang w:eastAsia="es-BO"/>
          <w14:ligatures w14:val="none"/>
        </w:rPr>
        <w:t xml:space="preserve">la misma </w:t>
      </w:r>
      <w:r w:rsidRPr="002E3F45">
        <w:rPr>
          <w:rFonts w:ascii="Calibri" w:eastAsia="Times New Roman" w:hAnsi="Calibri" w:cs="Calibri"/>
          <w:color w:val="000000"/>
          <w:kern w:val="0"/>
          <w:lang w:eastAsia="es-BO"/>
          <w14:ligatures w14:val="none"/>
        </w:rPr>
        <w:t xml:space="preserve">no está siendo utilizada por la mayoría del personal. </w:t>
      </w:r>
    </w:p>
    <w:p w14:paraId="67D3159D" w14:textId="1E85BBD8" w:rsidR="00A2612E" w:rsidRPr="002E3F45" w:rsidRDefault="00A2612E" w:rsidP="00547E10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lang w:eastAsia="es-BO"/>
          <w14:ligatures w14:val="none"/>
        </w:rPr>
      </w:pPr>
      <w:r w:rsidRPr="002E3F45">
        <w:rPr>
          <w:rFonts w:ascii="Calibri" w:eastAsia="Times New Roman" w:hAnsi="Calibri" w:cs="Calibri"/>
          <w:color w:val="000000"/>
          <w:kern w:val="0"/>
          <w:lang w:eastAsia="es-BO"/>
          <w14:ligatures w14:val="none"/>
        </w:rPr>
        <w:t>Se identifica que se siguen generando dos ID diferentes para los cargos del Plan Vitalia Ambulatorio, tanto en lo que cubre el seguro como en lo que no cubre</w:t>
      </w:r>
      <w:r w:rsidR="00171F4C" w:rsidRPr="002E3F45">
        <w:rPr>
          <w:rFonts w:ascii="Calibri" w:eastAsia="Times New Roman" w:hAnsi="Calibri" w:cs="Calibri"/>
          <w:color w:val="000000"/>
          <w:kern w:val="0"/>
          <w:lang w:eastAsia="es-BO"/>
          <w14:ligatures w14:val="none"/>
        </w:rPr>
        <w:t>.</w:t>
      </w:r>
    </w:p>
    <w:p w14:paraId="43470C02" w14:textId="5458A587" w:rsidR="00547E10" w:rsidRDefault="00547E10" w:rsidP="00547E10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lang w:eastAsia="es-BO"/>
          <w14:ligatures w14:val="none"/>
        </w:rPr>
      </w:pPr>
      <w:r w:rsidRPr="002E3F45">
        <w:rPr>
          <w:rFonts w:ascii="Calibri" w:eastAsia="Times New Roman" w:hAnsi="Calibri" w:cs="Calibri"/>
          <w:color w:val="000000"/>
          <w:kern w:val="0"/>
          <w:lang w:eastAsia="es-BO"/>
          <w14:ligatures w14:val="none"/>
        </w:rPr>
        <w:t xml:space="preserve">Se informa que el área de laboratorio no utiliza SGI para cerrar cuentas de Vitalia + Ambulatorio, sino que realiza este proceso desde Integrate. </w:t>
      </w:r>
    </w:p>
    <w:p w14:paraId="0DF46EA4" w14:textId="17BFED48" w:rsidR="002E3F45" w:rsidRPr="002E3F45" w:rsidRDefault="002E3F45" w:rsidP="00547E10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lang w:eastAsia="es-BO"/>
          <w14:ligatures w14:val="none"/>
        </w:rPr>
      </w:pPr>
      <w:r w:rsidRPr="002E3F45">
        <w:rPr>
          <w:rFonts w:ascii="Calibri" w:eastAsia="Times New Roman" w:hAnsi="Calibri" w:cs="Calibri"/>
          <w:color w:val="000000"/>
          <w:kern w:val="0"/>
          <w:lang w:eastAsia="es-BO"/>
          <w14:ligatures w14:val="none"/>
        </w:rPr>
        <w:t xml:space="preserve">Se presentó el uso de herramientas de Inteligencia Artificial (IA) </w:t>
      </w:r>
      <w:r w:rsidR="00686B3B" w:rsidRPr="00686B3B">
        <w:rPr>
          <w:rFonts w:ascii="Calibri" w:eastAsia="Times New Roman" w:hAnsi="Calibri" w:cs="Calibri"/>
          <w:color w:val="000000"/>
          <w:kern w:val="0"/>
          <w:lang w:eastAsia="es-BO"/>
          <w14:ligatures w14:val="none"/>
        </w:rPr>
        <w:t xml:space="preserve">aplicadas a distintas tareas en algunas áreas de la clínica, </w:t>
      </w:r>
      <w:r w:rsidR="00686B3B">
        <w:rPr>
          <w:rFonts w:ascii="Calibri" w:eastAsia="Times New Roman" w:hAnsi="Calibri" w:cs="Calibri"/>
          <w:color w:val="000000"/>
          <w:kern w:val="0"/>
          <w:lang w:eastAsia="es-BO"/>
          <w14:ligatures w14:val="none"/>
        </w:rPr>
        <w:t>para</w:t>
      </w:r>
      <w:r w:rsidR="00686B3B" w:rsidRPr="00686B3B">
        <w:rPr>
          <w:rFonts w:ascii="Calibri" w:eastAsia="Times New Roman" w:hAnsi="Calibri" w:cs="Calibri"/>
          <w:color w:val="000000"/>
          <w:kern w:val="0"/>
          <w:lang w:eastAsia="es-BO"/>
          <w14:ligatures w14:val="none"/>
        </w:rPr>
        <w:t xml:space="preserve"> posibles mejoras en el trabajo diario.</w:t>
      </w:r>
    </w:p>
    <w:p w14:paraId="4B20DE2A" w14:textId="0C8E5F7E" w:rsidR="00BC5712" w:rsidRPr="002E3F45" w:rsidRDefault="00547E10" w:rsidP="00BC5712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2E3F45">
        <w:rPr>
          <w:rFonts w:ascii="Calibri" w:eastAsia="Times New Roman" w:hAnsi="Calibri" w:cs="Calibri"/>
          <w:color w:val="000000"/>
          <w:kern w:val="0"/>
          <w:lang w:eastAsia="es-BO"/>
          <w14:ligatures w14:val="none"/>
        </w:rPr>
        <w:t>Se propone implementar un código QR para facilitar ventas externas de Vitalia + Ambulatorio y Vitalia + Emergencias fuera de la clínica.</w:t>
      </w:r>
    </w:p>
    <w:p w14:paraId="4E0AF3A7" w14:textId="77777777" w:rsidR="00171F4C" w:rsidRPr="002E3F45" w:rsidRDefault="00171F4C" w:rsidP="00171F4C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lang w:eastAsia="es-BO"/>
          <w14:ligatures w14:val="none"/>
        </w:rPr>
      </w:pPr>
      <w:r w:rsidRPr="002E3F45">
        <w:rPr>
          <w:rFonts w:ascii="Calibri" w:eastAsia="Times New Roman" w:hAnsi="Calibri" w:cs="Calibri"/>
          <w:color w:val="000000"/>
          <w:kern w:val="0"/>
          <w:lang w:eastAsia="es-BO"/>
          <w14:ligatures w14:val="none"/>
        </w:rPr>
        <w:t xml:space="preserve">El personal nuevo deberá realizar un recorrido por las diferentes áreas de recepción para conocer los procesos. </w:t>
      </w:r>
    </w:p>
    <w:p w14:paraId="6FE311EA" w14:textId="77777777" w:rsidR="00171F4C" w:rsidRPr="002E3F45" w:rsidRDefault="00171F4C" w:rsidP="00171F4C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lang w:eastAsia="es-BO"/>
          <w14:ligatures w14:val="none"/>
        </w:rPr>
      </w:pPr>
      <w:r w:rsidRPr="002E3F45">
        <w:rPr>
          <w:rFonts w:ascii="Calibri" w:eastAsia="Times New Roman" w:hAnsi="Calibri" w:cs="Calibri"/>
          <w:color w:val="000000"/>
          <w:kern w:val="0"/>
          <w:lang w:eastAsia="es-BO"/>
          <w14:ligatures w14:val="none"/>
        </w:rPr>
        <w:t xml:space="preserve">Se acuerda que todos deben revisar los mensajes enviados en el grupo de Capacitaciones y compartir la información con sus equipos. </w:t>
      </w:r>
    </w:p>
    <w:p w14:paraId="75333F68" w14:textId="45053246" w:rsidR="00171F4C" w:rsidRPr="002E3F45" w:rsidRDefault="00171F4C" w:rsidP="00171F4C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lang w:eastAsia="es-BO"/>
          <w14:ligatures w14:val="none"/>
        </w:rPr>
      </w:pPr>
      <w:r w:rsidRPr="002E3F45">
        <w:rPr>
          <w:rFonts w:ascii="Calibri" w:eastAsia="Times New Roman" w:hAnsi="Calibri" w:cs="Calibri"/>
          <w:color w:val="000000"/>
          <w:kern w:val="0"/>
          <w:lang w:eastAsia="es-BO"/>
          <w14:ligatures w14:val="none"/>
        </w:rPr>
        <w:t xml:space="preserve">Se solicita comunicar a los </w:t>
      </w:r>
      <w:r w:rsidR="002E3F45">
        <w:rPr>
          <w:rFonts w:ascii="Calibri" w:eastAsia="Times New Roman" w:hAnsi="Calibri" w:cs="Calibri"/>
          <w:color w:val="000000"/>
          <w:kern w:val="0"/>
          <w:lang w:eastAsia="es-BO"/>
          <w14:ligatures w14:val="none"/>
        </w:rPr>
        <w:t xml:space="preserve">integrantes de los </w:t>
      </w:r>
      <w:r w:rsidRPr="002E3F45">
        <w:rPr>
          <w:rFonts w:ascii="Calibri" w:eastAsia="Times New Roman" w:hAnsi="Calibri" w:cs="Calibri"/>
          <w:color w:val="000000"/>
          <w:kern w:val="0"/>
          <w:lang w:eastAsia="es-BO"/>
          <w14:ligatures w14:val="none"/>
        </w:rPr>
        <w:t xml:space="preserve">equipos los puntos más relevantes tratados en las capacitaciones. </w:t>
      </w:r>
    </w:p>
    <w:p w14:paraId="4A146D4B" w14:textId="0DEC63A3" w:rsidR="00171F4C" w:rsidRPr="002E3F45" w:rsidRDefault="00171F4C" w:rsidP="00171F4C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lang w:eastAsia="es-BO"/>
          <w14:ligatures w14:val="none"/>
        </w:rPr>
      </w:pPr>
      <w:r w:rsidRPr="002E3F45">
        <w:rPr>
          <w:rFonts w:ascii="Calibri" w:eastAsia="Times New Roman" w:hAnsi="Calibri" w:cs="Calibri"/>
          <w:color w:val="000000"/>
          <w:kern w:val="0"/>
          <w:lang w:eastAsia="es-BO"/>
          <w14:ligatures w14:val="none"/>
        </w:rPr>
        <w:t>Con las capacitaciones se busca alcanzar una participación superior al 80%</w:t>
      </w:r>
      <w:r w:rsidR="002E3F45">
        <w:rPr>
          <w:rFonts w:ascii="Calibri" w:eastAsia="Times New Roman" w:hAnsi="Calibri" w:cs="Calibri"/>
          <w:color w:val="000000"/>
          <w:kern w:val="0"/>
          <w:lang w:eastAsia="es-BO"/>
          <w14:ligatures w14:val="none"/>
        </w:rPr>
        <w:t>.</w:t>
      </w:r>
    </w:p>
    <w:p w14:paraId="0CB1C179" w14:textId="77777777" w:rsidR="00171F4C" w:rsidRPr="002E3F45" w:rsidRDefault="00171F4C" w:rsidP="00171F4C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lang w:eastAsia="es-BO"/>
          <w14:ligatures w14:val="none"/>
        </w:rPr>
      </w:pPr>
      <w:r w:rsidRPr="002E3F45">
        <w:rPr>
          <w:rFonts w:ascii="Calibri" w:eastAsia="Times New Roman" w:hAnsi="Calibri" w:cs="Calibri"/>
          <w:color w:val="000000"/>
          <w:kern w:val="0"/>
          <w:lang w:eastAsia="es-BO"/>
          <w14:ligatures w14:val="none"/>
        </w:rPr>
        <w:t xml:space="preserve">La clínica reconocerá o compensará al personal que asista a reuniones fuera de su horario laboral. </w:t>
      </w:r>
    </w:p>
    <w:p w14:paraId="0B95565B" w14:textId="77777777" w:rsidR="00D86CAB" w:rsidRPr="002E3F45" w:rsidRDefault="00D86CAB"/>
    <w:p w14:paraId="35BC60FD" w14:textId="77777777" w:rsidR="002E3F45" w:rsidRDefault="002E3F45"/>
    <w:p w14:paraId="085BA34C" w14:textId="77777777" w:rsidR="002E3F45" w:rsidRDefault="002E3F45" w:rsidP="002E3F45">
      <w:pPr>
        <w:tabs>
          <w:tab w:val="left" w:pos="2338"/>
        </w:tabs>
        <w:spacing w:after="0" w:line="240" w:lineRule="auto"/>
        <w:jc w:val="center"/>
        <w:rPr>
          <w:rFonts w:cs="Arial"/>
          <w:b/>
          <w:color w:val="000000"/>
          <w:lang w:val="es-MX"/>
        </w:rPr>
      </w:pPr>
      <w:r>
        <w:rPr>
          <w:rFonts w:cs="Arial"/>
          <w:b/>
          <w:color w:val="000000"/>
          <w:lang w:val="es-MX"/>
        </w:rPr>
        <w:t>Ing. Marcelo Hugo Mercado</w:t>
      </w:r>
    </w:p>
    <w:p w14:paraId="3E9451FB" w14:textId="77777777" w:rsidR="002E3F45" w:rsidRDefault="002E3F45" w:rsidP="002E3F45">
      <w:pPr>
        <w:tabs>
          <w:tab w:val="left" w:pos="2338"/>
        </w:tabs>
        <w:spacing w:after="0" w:line="240" w:lineRule="auto"/>
        <w:jc w:val="center"/>
        <w:rPr>
          <w:rFonts w:cs="Arial"/>
          <w:b/>
          <w:color w:val="000000"/>
          <w:lang w:val="es-MX"/>
        </w:rPr>
      </w:pPr>
      <w:r>
        <w:rPr>
          <w:rFonts w:cs="Arial"/>
          <w:b/>
          <w:color w:val="000000"/>
          <w:lang w:val="es-MX"/>
        </w:rPr>
        <w:t>Gerente de Operaciones</w:t>
      </w:r>
    </w:p>
    <w:p w14:paraId="5B19ECF0" w14:textId="77777777" w:rsidR="002E3F45" w:rsidRDefault="002E3F45" w:rsidP="002E3F45">
      <w:pPr>
        <w:tabs>
          <w:tab w:val="left" w:pos="2338"/>
        </w:tabs>
        <w:spacing w:after="0" w:line="240" w:lineRule="auto"/>
        <w:jc w:val="center"/>
        <w:rPr>
          <w:rFonts w:cs="Arial"/>
          <w:b/>
          <w:color w:val="000000"/>
          <w:lang w:val="es-MX"/>
        </w:rPr>
      </w:pPr>
      <w:r>
        <w:rPr>
          <w:rFonts w:cs="Arial"/>
          <w:b/>
          <w:color w:val="000000"/>
          <w:lang w:val="es-MX"/>
        </w:rPr>
        <w:t>Clínica Ángel Foianini Ltda.</w:t>
      </w:r>
    </w:p>
    <w:p w14:paraId="68A4764F" w14:textId="77777777" w:rsidR="002E3F45" w:rsidRDefault="002E3F45"/>
    <w:sectPr w:rsidR="002E3F45" w:rsidSect="002E3F45">
      <w:headerReference w:type="default" r:id="rId7"/>
      <w:pgSz w:w="12240" w:h="15840" w:code="1"/>
      <w:pgMar w:top="1417" w:right="1416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FADA22" w14:textId="77777777" w:rsidR="00A4658D" w:rsidRDefault="00A4658D" w:rsidP="00171F4C">
      <w:pPr>
        <w:spacing w:after="0" w:line="240" w:lineRule="auto"/>
      </w:pPr>
      <w:r>
        <w:separator/>
      </w:r>
    </w:p>
  </w:endnote>
  <w:endnote w:type="continuationSeparator" w:id="0">
    <w:p w14:paraId="34A948CD" w14:textId="77777777" w:rsidR="00A4658D" w:rsidRDefault="00A4658D" w:rsidP="00171F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FFD676" w14:textId="77777777" w:rsidR="00A4658D" w:rsidRDefault="00A4658D" w:rsidP="00171F4C">
      <w:pPr>
        <w:spacing w:after="0" w:line="240" w:lineRule="auto"/>
      </w:pPr>
      <w:r>
        <w:separator/>
      </w:r>
    </w:p>
  </w:footnote>
  <w:footnote w:type="continuationSeparator" w:id="0">
    <w:p w14:paraId="3507E510" w14:textId="77777777" w:rsidR="00A4658D" w:rsidRDefault="00A4658D" w:rsidP="00171F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4C5FF" w14:textId="5B23BE2A" w:rsidR="00171F4C" w:rsidRDefault="00171F4C">
    <w:pPr>
      <w:pStyle w:val="Encabezado"/>
    </w:pPr>
    <w:r>
      <w:rPr>
        <w:noProof/>
        <w:lang w:val="es-ES" w:eastAsia="es-ES"/>
      </w:rPr>
      <w:drawing>
        <wp:anchor distT="0" distB="0" distL="114300" distR="114300" simplePos="0" relativeHeight="251659264" behindDoc="0" locked="0" layoutInCell="1" allowOverlap="1" wp14:anchorId="05434A7F" wp14:editId="52AC669D">
          <wp:simplePos x="0" y="0"/>
          <wp:positionH relativeFrom="margin">
            <wp:posOffset>267335</wp:posOffset>
          </wp:positionH>
          <wp:positionV relativeFrom="paragraph">
            <wp:posOffset>-183515</wp:posOffset>
          </wp:positionV>
          <wp:extent cx="2060575" cy="415925"/>
          <wp:effectExtent l="0" t="0" r="0" b="3175"/>
          <wp:wrapSquare wrapText="bothSides"/>
          <wp:docPr id="783135653" name="Imagen 783135653" descr="C:\Users\lpaniagua\AppData\Local\Microsoft\Windows\INetCache\Content.Word\logo clínica e itaes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lpaniagua\AppData\Local\Microsoft\Windows\INetCache\Content.Word\logo clínica e itaes.gif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735" t="7899" b="7841"/>
                  <a:stretch/>
                </pic:blipFill>
                <pic:spPr bwMode="auto">
                  <a:xfrm>
                    <a:off x="0" y="0"/>
                    <a:ext cx="2060575" cy="4159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00E4B"/>
    <w:multiLevelType w:val="hybridMultilevel"/>
    <w:tmpl w:val="F6C68FDA"/>
    <w:lvl w:ilvl="0" w:tplc="400A000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A6546F"/>
    <w:multiLevelType w:val="hybridMultilevel"/>
    <w:tmpl w:val="48D47BB2"/>
    <w:lvl w:ilvl="0" w:tplc="372AC8A8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9442FD"/>
    <w:multiLevelType w:val="hybridMultilevel"/>
    <w:tmpl w:val="5C30F3D2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124A4D"/>
    <w:multiLevelType w:val="hybridMultilevel"/>
    <w:tmpl w:val="5984B496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D601FE"/>
    <w:multiLevelType w:val="multilevel"/>
    <w:tmpl w:val="3A040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9A1755"/>
    <w:multiLevelType w:val="hybridMultilevel"/>
    <w:tmpl w:val="A51CBD0C"/>
    <w:lvl w:ilvl="0" w:tplc="FAE0E75A">
      <w:start w:val="1"/>
      <w:numFmt w:val="decimal"/>
      <w:lvlText w:val="%1."/>
      <w:lvlJc w:val="left"/>
      <w:pPr>
        <w:ind w:left="1068" w:hanging="360"/>
      </w:pPr>
      <w:rPr>
        <w:b/>
        <w:bCs/>
      </w:rPr>
    </w:lvl>
    <w:lvl w:ilvl="1" w:tplc="400A0019">
      <w:start w:val="1"/>
      <w:numFmt w:val="lowerLetter"/>
      <w:lvlText w:val="%2."/>
      <w:lvlJc w:val="left"/>
      <w:pPr>
        <w:ind w:left="1788" w:hanging="360"/>
      </w:pPr>
    </w:lvl>
    <w:lvl w:ilvl="2" w:tplc="400A001B" w:tentative="1">
      <w:start w:val="1"/>
      <w:numFmt w:val="lowerRoman"/>
      <w:lvlText w:val="%3."/>
      <w:lvlJc w:val="right"/>
      <w:pPr>
        <w:ind w:left="2508" w:hanging="180"/>
      </w:pPr>
    </w:lvl>
    <w:lvl w:ilvl="3" w:tplc="400A000F" w:tentative="1">
      <w:start w:val="1"/>
      <w:numFmt w:val="decimal"/>
      <w:lvlText w:val="%4."/>
      <w:lvlJc w:val="left"/>
      <w:pPr>
        <w:ind w:left="3228" w:hanging="360"/>
      </w:pPr>
    </w:lvl>
    <w:lvl w:ilvl="4" w:tplc="400A0019" w:tentative="1">
      <w:start w:val="1"/>
      <w:numFmt w:val="lowerLetter"/>
      <w:lvlText w:val="%5."/>
      <w:lvlJc w:val="left"/>
      <w:pPr>
        <w:ind w:left="3948" w:hanging="360"/>
      </w:pPr>
    </w:lvl>
    <w:lvl w:ilvl="5" w:tplc="400A001B" w:tentative="1">
      <w:start w:val="1"/>
      <w:numFmt w:val="lowerRoman"/>
      <w:lvlText w:val="%6."/>
      <w:lvlJc w:val="right"/>
      <w:pPr>
        <w:ind w:left="4668" w:hanging="180"/>
      </w:pPr>
    </w:lvl>
    <w:lvl w:ilvl="6" w:tplc="400A000F" w:tentative="1">
      <w:start w:val="1"/>
      <w:numFmt w:val="decimal"/>
      <w:lvlText w:val="%7."/>
      <w:lvlJc w:val="left"/>
      <w:pPr>
        <w:ind w:left="5388" w:hanging="360"/>
      </w:pPr>
    </w:lvl>
    <w:lvl w:ilvl="7" w:tplc="400A0019" w:tentative="1">
      <w:start w:val="1"/>
      <w:numFmt w:val="lowerLetter"/>
      <w:lvlText w:val="%8."/>
      <w:lvlJc w:val="left"/>
      <w:pPr>
        <w:ind w:left="6108" w:hanging="360"/>
      </w:pPr>
    </w:lvl>
    <w:lvl w:ilvl="8" w:tplc="400A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191379456">
    <w:abstractNumId w:val="3"/>
  </w:num>
  <w:num w:numId="2" w16cid:durableId="426658405">
    <w:abstractNumId w:val="2"/>
  </w:num>
  <w:num w:numId="3" w16cid:durableId="855078064">
    <w:abstractNumId w:val="4"/>
  </w:num>
  <w:num w:numId="4" w16cid:durableId="545214785">
    <w:abstractNumId w:val="5"/>
  </w:num>
  <w:num w:numId="5" w16cid:durableId="187529024">
    <w:abstractNumId w:val="1"/>
  </w:num>
  <w:num w:numId="6" w16cid:durableId="154535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CAB"/>
    <w:rsid w:val="00171F4C"/>
    <w:rsid w:val="002E3F45"/>
    <w:rsid w:val="004E5FBF"/>
    <w:rsid w:val="00547E10"/>
    <w:rsid w:val="00590E5D"/>
    <w:rsid w:val="00686B3B"/>
    <w:rsid w:val="00A03CF3"/>
    <w:rsid w:val="00A2612E"/>
    <w:rsid w:val="00A4658D"/>
    <w:rsid w:val="00BC5712"/>
    <w:rsid w:val="00D86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C246A"/>
  <w15:chartTrackingRefBased/>
  <w15:docId w15:val="{DD5A34A4-45BC-4FF2-8A30-456C5D24B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86C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86C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86C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6C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6C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86C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86C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86C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86C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86C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86C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86C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86CA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86CA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86C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86C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86C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86C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86C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6C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86C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86C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86C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86C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86C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86CA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6C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6CA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86CAB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71F4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71F4C"/>
  </w:style>
  <w:style w:type="paragraph" w:styleId="Piedepgina">
    <w:name w:val="footer"/>
    <w:basedOn w:val="Normal"/>
    <w:link w:val="PiedepginaCar"/>
    <w:uiPriority w:val="99"/>
    <w:unhideWhenUsed/>
    <w:rsid w:val="00171F4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71F4C"/>
  </w:style>
  <w:style w:type="paragraph" w:customStyle="1" w:styleId="toa">
    <w:name w:val="toa"/>
    <w:basedOn w:val="Normal"/>
    <w:rsid w:val="00171F4C"/>
    <w:pPr>
      <w:tabs>
        <w:tab w:val="left" w:pos="9000"/>
        <w:tab w:val="right" w:pos="9360"/>
      </w:tabs>
      <w:suppressAutoHyphens/>
      <w:spacing w:after="0" w:line="240" w:lineRule="auto"/>
    </w:pPr>
    <w:rPr>
      <w:rFonts w:ascii="Garamond" w:eastAsia="Times New Roman" w:hAnsi="Garamond" w:cs="Times New Roman"/>
      <w:spacing w:val="-3"/>
      <w:kern w:val="0"/>
      <w:szCs w:val="20"/>
      <w:lang w:val="en-US" w:eastAsia="es-ES"/>
      <w14:ligatures w14:val="none"/>
    </w:rPr>
  </w:style>
  <w:style w:type="table" w:styleId="Tablaconcuadrcula">
    <w:name w:val="Table Grid"/>
    <w:basedOn w:val="Tablanormal"/>
    <w:uiPriority w:val="59"/>
    <w:rsid w:val="00171F4C"/>
    <w:pPr>
      <w:spacing w:after="0" w:line="240" w:lineRule="auto"/>
    </w:pPr>
    <w:rPr>
      <w:rFonts w:eastAsiaTheme="minorEastAsia"/>
      <w:kern w:val="0"/>
      <w:sz w:val="22"/>
      <w:szCs w:val="22"/>
      <w:lang w:eastAsia="es-BO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339</Words>
  <Characters>1867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banina antezana</dc:creator>
  <cp:keywords/>
  <dc:description/>
  <cp:lastModifiedBy>banina antezana</cp:lastModifiedBy>
  <cp:revision>3</cp:revision>
  <dcterms:created xsi:type="dcterms:W3CDTF">2026-04-09T21:30:00Z</dcterms:created>
  <dcterms:modified xsi:type="dcterms:W3CDTF">2026-04-09T21:31:00Z</dcterms:modified>
</cp:coreProperties>
</file>