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D6E4F0"/>
            <w:tcMar>
              <w:top w:w="80" w:type="dxa"/>
              <w:bottom w:w="80" w:type="dxa"/>
              <w:left w:w="150" w:type="dxa"/>
              <w:right w:w="150" w:type="dxa"/>
            </w:tcMar>
            <w:tcW w:w="1984" w:type="dxa"/>
          </w:tcPr>
          <w:p>
            <w:r>
              <w:rPr>
                <w:rFonts w:ascii="Arial" w:hAnsi="Arial"/>
                <w:b/>
                <w:color w:val="1F3864"/>
                <w:sz w:val="20"/>
                <w:lang w:val="es-BO" w:eastAsia="es-BO" w:bidi="ar-SA"/>
              </w:rPr>
              <w:t>Áreas</w:t>
            </w:r>
          </w:p>
        </w:tc>
        <w:tc>
          <w:tcPr>
            <w:tcW w:type="dxa" w:w="4986"/>
            <w:tcMar>
              <w:top w:w="80" w:type="dxa"/>
              <w:bottom w:w="80" w:type="dxa"/>
              <w:left w:w="150" w:type="dxa"/>
              <w:right w:w="150" w:type="dxa"/>
            </w:tcMar>
            <w:tcW w:w="7654" w:type="dxa"/>
          </w:tcPr>
          <w:p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10 áreas de recepción de la Clínica Foianini</w:t>
            </w:r>
          </w:p>
        </w:tc>
      </w:tr>
      <w:tr>
        <w:tc>
          <w:tcPr>
            <w:tcW w:type="dxa" w:w="4986"/>
            <w:shd w:val="clear" w:color="auto" w:fill="D6E4F0"/>
            <w:tcMar>
              <w:top w:w="80" w:type="dxa"/>
              <w:bottom w:w="80" w:type="dxa"/>
              <w:left w:w="150" w:type="dxa"/>
              <w:right w:w="150" w:type="dxa"/>
            </w:tcMar>
            <w:tcW w:w="1984" w:type="dxa"/>
          </w:tcPr>
          <w:p>
            <w:r>
              <w:rPr>
                <w:rFonts w:ascii="Arial" w:hAnsi="Arial"/>
                <w:b/>
                <w:color w:val="1F3864"/>
                <w:sz w:val="20"/>
                <w:lang w:val="es-BO" w:eastAsia="es-BO" w:bidi="ar-SA"/>
              </w:rPr>
              <w:t>Fecha</w:t>
            </w:r>
          </w:p>
        </w:tc>
        <w:tc>
          <w:tcPr>
            <w:tcW w:type="dxa" w:w="4986"/>
            <w:tcMar>
              <w:top w:w="80" w:type="dxa"/>
              <w:bottom w:w="80" w:type="dxa"/>
              <w:left w:w="150" w:type="dxa"/>
              <w:right w:w="150" w:type="dxa"/>
            </w:tcMar>
            <w:tcW w:w="7654" w:type="dxa"/>
          </w:tcPr>
          <w:p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23 de abril de 2026</w:t>
            </w:r>
          </w:p>
        </w:tc>
      </w:tr>
      <w:tr>
        <w:tc>
          <w:tcPr>
            <w:tcW w:type="dxa" w:w="4986"/>
            <w:shd w:val="clear" w:color="auto" w:fill="D6E4F0"/>
            <w:tcMar>
              <w:top w:w="80" w:type="dxa"/>
              <w:bottom w:w="80" w:type="dxa"/>
              <w:left w:w="150" w:type="dxa"/>
              <w:right w:w="150" w:type="dxa"/>
            </w:tcMar>
            <w:tcW w:w="1984" w:type="dxa"/>
          </w:tcPr>
          <w:p>
            <w:r>
              <w:rPr>
                <w:rFonts w:ascii="Arial" w:hAnsi="Arial"/>
                <w:b/>
                <w:color w:val="1F3864"/>
                <w:sz w:val="20"/>
                <w:lang w:val="es-BO" w:eastAsia="es-BO" w:bidi="ar-SA"/>
              </w:rPr>
              <w:t>Horario</w:t>
            </w:r>
          </w:p>
        </w:tc>
        <w:tc>
          <w:tcPr>
            <w:tcW w:type="dxa" w:w="4986"/>
            <w:tcMar>
              <w:top w:w="80" w:type="dxa"/>
              <w:bottom w:w="80" w:type="dxa"/>
              <w:left w:w="150" w:type="dxa"/>
              <w:right w:w="150" w:type="dxa"/>
            </w:tcMar>
            <w:tcW w:w="7654" w:type="dxa"/>
          </w:tcPr>
          <w:p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12:00 a 14:00 / 14:00 a 16:00</w:t>
            </w:r>
          </w:p>
        </w:tc>
      </w:tr>
      <w:tr>
        <w:tc>
          <w:tcPr>
            <w:tcW w:type="dxa" w:w="4986"/>
            <w:shd w:val="clear" w:color="auto" w:fill="D6E4F0"/>
            <w:tcMar>
              <w:top w:w="80" w:type="dxa"/>
              <w:bottom w:w="80" w:type="dxa"/>
              <w:left w:w="150" w:type="dxa"/>
              <w:right w:w="150" w:type="dxa"/>
            </w:tcMar>
            <w:tcW w:w="1984" w:type="dxa"/>
          </w:tcPr>
          <w:p>
            <w:r>
              <w:rPr>
                <w:rFonts w:ascii="Arial" w:hAnsi="Arial"/>
                <w:b/>
                <w:color w:val="1F3864"/>
                <w:sz w:val="20"/>
                <w:lang w:val="es-BO" w:eastAsia="es-BO" w:bidi="ar-SA"/>
              </w:rPr>
              <w:t>Asunto</w:t>
            </w:r>
          </w:p>
        </w:tc>
        <w:tc>
          <w:tcPr>
            <w:tcW w:type="dxa" w:w="4986"/>
            <w:tcMar>
              <w:top w:w="80" w:type="dxa"/>
              <w:bottom w:w="80" w:type="dxa"/>
              <w:left w:w="150" w:type="dxa"/>
              <w:right w:w="150" w:type="dxa"/>
            </w:tcMar>
            <w:tcW w:w="7654" w:type="dxa"/>
          </w:tcPr>
          <w:p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Reunión Equipo de Ventas — 2026</w:t>
            </w:r>
          </w:p>
        </w:tc>
      </w:tr>
    </w:tbl>
    <w:p/>
    <w:p>
      <w:pPr>
        <w:spacing w:before="240" w:after="120"/>
        <w:pBdr>
          <w:bottom w:val="single" w:sz="6" w:space="1" w:color="2E75B6"/>
        </w:pBdr>
      </w:pPr>
      <w:r>
        <w:rPr>
          <w:rFonts w:ascii="Arial" w:hAnsi="Arial"/>
          <w:b/>
          <w:color w:val="2E75B6"/>
          <w:sz w:val="24"/>
        </w:rPr>
        <w:t>1. Seguimiento de compromisos semanales</w:t>
      </w:r>
    </w:p>
    <w:p>
      <w:pPr>
        <w:pStyle w:val="ListBullet"/>
        <w:spacing w:before="40" w:after="40"/>
      </w:pPr>
      <w:r>
        <w:rPr>
          <w:rFonts w:ascii="Arial" w:hAnsi="Arial"/>
          <w:color w:val="000000"/>
          <w:sz w:val="20"/>
        </w:rPr>
        <w:t>Se presentó el cuadro de compromisos de la semana (jueves 17 al miércoles 22 de abril).</w:t>
      </w:r>
    </w:p>
    <w:p>
      <w:pPr>
        <w:pStyle w:val="ListBullet"/>
        <w:spacing w:before="40" w:after="40"/>
      </w:pPr>
      <w:r>
        <w:rPr>
          <w:rFonts w:ascii="Arial" w:hAnsi="Arial"/>
          <w:color w:val="000000"/>
          <w:sz w:val="20"/>
        </w:rPr>
        <w:t>Resultados de Vitalia + Ambulatorio de la semana anterior: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386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  <w:lang w:val="es-BO" w:eastAsia="es-BO" w:bidi="ar-SA"/>
              </w:rPr>
              <w:t>COMPROMISO</w:t>
            </w:r>
          </w:p>
        </w:tc>
        <w:tc>
          <w:tcPr>
            <w:tcW w:type="dxa" w:w="2493"/>
            <w:shd w:val="clear" w:color="auto" w:fill="2E75B6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  <w:lang w:val="es-BO" w:eastAsia="es-BO" w:bidi="ar-SA"/>
              </w:rPr>
              <w:t>EJECUTADO</w:t>
            </w:r>
          </w:p>
        </w:tc>
        <w:tc>
          <w:tcPr>
            <w:tcW w:type="dxa" w:w="2493"/>
            <w:shd w:val="clear" w:color="auto" w:fill="1F6B3E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  <w:lang w:val="es-BO" w:eastAsia="es-BO" w:bidi="ar-SA"/>
              </w:rPr>
              <w:t>OBJETIVO</w:t>
            </w:r>
          </w:p>
        </w:tc>
        <w:tc>
          <w:tcPr>
            <w:tcW w:type="dxa" w:w="2493"/>
            <w:shd w:val="clear" w:color="auto" w:fill="8B000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  <w:lang w:val="es-BO" w:eastAsia="es-BO" w:bidi="ar-SA"/>
              </w:rPr>
              <w:t>BRECHA</w:t>
            </w:r>
          </w:p>
        </w:tc>
      </w:tr>
      <w:tr>
        <w:tc>
          <w:tcPr>
            <w:tcW w:type="dxa" w:w="2493"/>
            <w:shd w:val="clear" w:color="auto" w:fill="F2F2F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263 V+A</w:t>
            </w:r>
          </w:p>
        </w:tc>
        <w:tc>
          <w:tcPr>
            <w:tcW w:type="dxa" w:w="2493"/>
            <w:shd w:val="clear" w:color="auto" w:fill="F2F2F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164 V+A (62%)</w:t>
            </w:r>
          </w:p>
        </w:tc>
        <w:tc>
          <w:tcPr>
            <w:tcW w:type="dxa" w:w="2493"/>
            <w:shd w:val="clear" w:color="auto" w:fill="F2F2F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225 V+A</w:t>
            </w:r>
          </w:p>
        </w:tc>
        <w:tc>
          <w:tcPr>
            <w:tcW w:type="dxa" w:w="2493"/>
            <w:shd w:val="clear" w:color="auto" w:fill="F2F2F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20"/>
                <w:lang w:val="es-BO" w:eastAsia="es-BO" w:bidi="ar-SA"/>
              </w:rPr>
              <w:t>-61</w:t>
            </w:r>
          </w:p>
        </w:tc>
      </w:tr>
    </w:tbl>
    <w:p/>
    <w:p>
      <w:pPr>
        <w:pStyle w:val="ListBullet"/>
        <w:spacing w:before="40" w:after="40"/>
      </w:pPr>
      <w:r>
        <w:rPr>
          <w:rFonts w:ascii="Arial" w:hAnsi="Arial"/>
          <w:color w:val="000000"/>
          <w:sz w:val="20"/>
        </w:rPr>
        <w:t>El 73% del equipo reconoció no haber cumplido su compromiso de la semana anterior.</w:t>
      </w:r>
    </w:p>
    <w:p>
      <w:pPr>
        <w:pStyle w:val="ListBullet"/>
        <w:spacing w:before="40" w:after="40"/>
      </w:pPr>
      <w:r>
        <w:rPr>
          <w:rFonts w:ascii="Arial" w:hAnsi="Arial"/>
          <w:color w:val="000000"/>
          <w:sz w:val="20"/>
        </w:rPr>
        <w:t>Para la presente semana, el equipo se comprometió a alcanzar 239 suscripciones de Vitalia + Ambulatorio.</w:t>
      </w:r>
    </w:p>
    <w:p>
      <w:pPr>
        <w:pStyle w:val="ListBullet"/>
        <w:spacing w:before="40" w:after="40"/>
      </w:pPr>
      <w:r>
        <w:rPr>
          <w:rFonts w:ascii="Arial" w:hAnsi="Arial"/>
          <w:color w:val="000000"/>
          <w:sz w:val="20"/>
        </w:rPr>
        <w:t>Se enfatizó que el objetivo es colectivo: el equipo en su conjunto debe alcanzar las 225 suscripciones semanales, sin imponerse límites personales.</w:t>
      </w:r>
    </w:p>
    <w:p/>
    <w:p>
      <w:pPr>
        <w:spacing w:before="240" w:after="120"/>
        <w:pBdr>
          <w:bottom w:val="single" w:sz="6" w:space="1" w:color="2E75B6"/>
        </w:pBdr>
      </w:pPr>
      <w:r>
        <w:rPr>
          <w:rFonts w:ascii="Arial" w:hAnsi="Arial"/>
          <w:b/>
          <w:color w:val="2E75B6"/>
          <w:sz w:val="24"/>
        </w:rPr>
        <w:t>2. Reconocimiento e incentivos por desempeño</w:t>
      </w:r>
    </w:p>
    <w:p>
      <w:pPr>
        <w:pStyle w:val="ListBullet"/>
        <w:spacing w:before="40" w:after="40"/>
      </w:pPr>
      <w:r>
        <w:rPr>
          <w:rFonts w:ascii="Arial" w:hAnsi="Arial"/>
          <w:color w:val="000000"/>
          <w:sz w:val="20"/>
        </w:rPr>
        <w:t>Se otorgó reconocimiento especial a los colaboradores que cumplieron íntegramente el compromiso de ventas propuesto: Sra. Lourdes y Brandon, quienes serán acreedores a un almuerzo en Med como distinción por su desempeño destacado.</w:t>
      </w:r>
    </w:p>
    <w:p>
      <w:pPr>
        <w:pStyle w:val="ListBullet"/>
        <w:spacing w:before="40" w:after="40"/>
      </w:pPr>
      <w:r>
        <w:rPr>
          <w:rFonts w:ascii="Arial" w:hAnsi="Arial"/>
          <w:color w:val="000000"/>
          <w:sz w:val="20"/>
        </w:rPr>
        <w:t>Se solicitó a todos los miembros del equipo verificar si respondieron el mensaje de confirmación de asistencia a las reuniones de capacitación, y colaborar en el seguimiento de las respuestas pendientes.</w:t>
      </w:r>
    </w:p>
    <w:p/>
    <w:p>
      <w:pPr>
        <w:spacing w:before="240" w:after="120"/>
        <w:pBdr>
          <w:bottom w:val="single" w:sz="6" w:space="1" w:color="2E75B6"/>
        </w:pBdr>
      </w:pPr>
      <w:r>
        <w:rPr>
          <w:rFonts w:ascii="Arial" w:hAnsi="Arial"/>
          <w:b/>
          <w:color w:val="2E75B6"/>
          <w:sz w:val="24"/>
        </w:rPr>
        <w:t>3. Gestión y atención al paciente</w:t>
      </w:r>
    </w:p>
    <w:p>
      <w:pPr>
        <w:pStyle w:val="ListBullet"/>
        <w:spacing w:before="40" w:after="40"/>
      </w:pPr>
      <w:r>
        <w:rPr>
          <w:rFonts w:ascii="Arial" w:hAnsi="Arial"/>
          <w:color w:val="000000"/>
          <w:sz w:val="20"/>
        </w:rPr>
        <w:t>Se propone agrupar las recepciones del Bloque A, Bloque B y Bloque C, asignando varias personas por bloque para agilizar la atención y garantizar la continuidad del servicio. Todo el personal deberá estar capacitado para atender pacientes de otros médicos dentro del mismo bloque.</w:t>
      </w:r>
    </w:p>
    <w:p>
      <w:pPr>
        <w:pStyle w:val="ListBullet"/>
        <w:spacing w:before="40" w:after="40"/>
      </w:pPr>
      <w:r>
        <w:rPr>
          <w:rFonts w:ascii="Arial" w:hAnsi="Arial"/>
          <w:color w:val="000000"/>
          <w:sz w:val="20"/>
        </w:rPr>
        <w:t>Se estableció que no se debe proporcionar precios a pacientes con seguro médico hasta que su autorización haya sido procesada y confirmada.</w:t>
      </w:r>
    </w:p>
    <w:p>
      <w:pPr>
        <w:pStyle w:val="ListBullet"/>
        <w:spacing w:before="40" w:after="40"/>
      </w:pPr>
      <w:r>
        <w:rPr>
          <w:rFonts w:ascii="Arial" w:hAnsi="Arial"/>
          <w:color w:val="000000"/>
          <w:sz w:val="20"/>
        </w:rPr>
        <w:t>Se acordó la impresión y distribución de folletos informativos de Vitalia Ambulatorio y Vitalia Emergencias para facilitar la promoción del producto.</w:t>
      </w:r>
    </w:p>
    <w:p>
      <w:pPr>
        <w:pStyle w:val="ListBullet"/>
        <w:spacing w:before="40" w:after="40"/>
      </w:pPr>
      <w:r>
        <w:rPr>
          <w:rFonts w:ascii="Arial" w:hAnsi="Arial"/>
          <w:color w:val="000000"/>
          <w:sz w:val="20"/>
        </w:rPr>
        <w:t>Se instruyó brindar información clara y completa a los colaboradores nuevos sobre ambos planes (Vitalia + Ambulatorio y Vitalia + Emergencias), para garantizar una atención adecuada desde el inicio de sus funciones.</w:t>
      </w:r>
    </w:p>
    <w:p/>
    <w:p>
      <w:pPr>
        <w:spacing w:before="240" w:after="120"/>
        <w:pBdr>
          <w:bottom w:val="single" w:sz="6" w:space="1" w:color="2E75B6"/>
        </w:pBdr>
      </w:pPr>
      <w:r>
        <w:rPr>
          <w:rFonts w:ascii="Arial" w:hAnsi="Arial"/>
          <w:b/>
          <w:color w:val="2E75B6"/>
          <w:sz w:val="24"/>
        </w:rPr>
        <w:t>4. Estadísticas y seguimiento diario</w:t>
      </w:r>
    </w:p>
    <w:p>
      <w:pPr>
        <w:pStyle w:val="ListBullet"/>
        <w:spacing w:before="40" w:after="40"/>
      </w:pPr>
      <w:r>
        <w:rPr>
          <w:rFonts w:ascii="Arial" w:hAnsi="Arial"/>
          <w:color w:val="000000"/>
          <w:sz w:val="20"/>
        </w:rPr>
        <w:t>Se dispuso el envío diario de estadísticas al grupo de capacitaciones, correspondientes al día anterior, para mantener al equipo informado sobre el avance de ventas en tiempo real.</w:t>
      </w:r>
    </w:p>
    <w:p>
      <w:pPr>
        <w:pStyle w:val="ListBullet"/>
        <w:spacing w:before="40" w:after="40"/>
      </w:pPr>
      <w:r>
        <w:rPr>
          <w:rFonts w:ascii="Arial" w:hAnsi="Arial"/>
          <w:color w:val="000000"/>
          <w:sz w:val="20"/>
        </w:rPr>
        <w:t>Se solicitó recopilar estadísticas del área de Gestión de Pacientes que reflejen la cantidad de pacientes atendidos y el número de ventas efectivamente cerradas, con el fin de identificar oportunidades de mejora.</w:t>
      </w:r>
    </w:p>
    <w:p>
      <w:pPr>
        <w:pStyle w:val="ListBullet"/>
        <w:spacing w:before="40" w:after="40"/>
      </w:pPr>
      <w:r>
        <w:rPr>
          <w:rFonts w:ascii="Arial" w:hAnsi="Arial"/>
          <w:color w:val="000000"/>
          <w:sz w:val="20"/>
        </w:rPr>
        <w:t>Se acordó que cada colaborador deberá registrar y enviar sus ventas diarias al grupo de capacitaciones de forma individual, según el compromiso establecido por persona.</w:t>
      </w:r>
    </w:p>
    <w:p/>
    <w:p>
      <w:pPr>
        <w:spacing w:before="240" w:after="120"/>
        <w:pBdr>
          <w:bottom w:val="single" w:sz="6" w:space="1" w:color="2E75B6"/>
        </w:pBdr>
      </w:pPr>
      <w:r>
        <w:rPr>
          <w:rFonts w:ascii="Arial" w:hAnsi="Arial"/>
          <w:b/>
          <w:color w:val="2E75B6"/>
          <w:sz w:val="24"/>
        </w:rPr>
        <w:t>5. Plan de capacitación interna</w:t>
      </w:r>
    </w:p>
    <w:p>
      <w:pPr>
        <w:pStyle w:val="ListBullet"/>
        <w:spacing w:before="40" w:after="40"/>
      </w:pPr>
      <w:r>
        <w:rPr>
          <w:rFonts w:ascii="Arial" w:hAnsi="Arial"/>
          <w:color w:val="000000"/>
          <w:sz w:val="20"/>
        </w:rPr>
        <w:t>Se coordinará con Gicela y Gaby la programación de capacitaciones por área, con el objetivo de reforzar los conocimientos del equipo en los procedimientos y productos Vitalia.</w:t>
      </w:r>
    </w:p>
    <w:p/>
    <w:p>
      <w:pPr>
        <w:spacing w:before="240" w:after="120"/>
        <w:pBdr>
          <w:bottom w:val="single" w:sz="6" w:space="1" w:color="2E75B6"/>
        </w:pBdr>
      </w:pPr>
      <w:r>
        <w:rPr>
          <w:rFonts w:ascii="Arial" w:hAnsi="Arial"/>
          <w:b/>
          <w:color w:val="2E75B6"/>
          <w:sz w:val="24"/>
        </w:rPr>
        <w:t>Resumen — Compromisos y pendientes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86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680" w:type="dx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  <w:lang w:val="es-BO" w:eastAsia="es-BO" w:bidi="ar-SA"/>
              </w:rPr>
              <w:t>N°</w:t>
            </w:r>
          </w:p>
        </w:tc>
        <w:tc>
          <w:tcPr>
            <w:tcW w:type="dxa" w:w="4986"/>
            <w:shd w:val="clear" w:color="auto" w:fill="1F386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8675" w:type="dx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  <w:lang w:val="es-BO" w:eastAsia="es-BO" w:bidi="ar-SA"/>
              </w:rPr>
              <w:t>Descripción del compromiso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680" w:type="dxa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20"/>
                <w:lang w:val="es-BO" w:eastAsia="es-BO" w:bidi="ar-SA"/>
              </w:rPr>
              <w:t>1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8675" w:type="dxa"/>
          </w:tcPr>
          <w:p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Alcanzar un mínimo de 225 suscripciones semanales de V+A como meta colectiva del equipo.</w:t>
            </w:r>
          </w:p>
        </w:tc>
      </w:tr>
      <w:tr>
        <w:tc>
          <w:tcPr>
            <w:tcW w:type="dxa" w:w="4986"/>
            <w:shd w:val="clear" w:color="auto" w:fill="F2F2F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680" w:type="dxa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20"/>
                <w:lang w:val="es-BO" w:eastAsia="es-BO" w:bidi="ar-SA"/>
              </w:rPr>
              <w:t>2</w:t>
            </w:r>
          </w:p>
        </w:tc>
        <w:tc>
          <w:tcPr>
            <w:tcW w:type="dxa" w:w="4986"/>
            <w:shd w:val="clear" w:color="auto" w:fill="F2F2F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8675" w:type="dxa"/>
          </w:tcPr>
          <w:p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Verificar y registrar las respuestas de confirmación de asistencia a las reuniones de capacitación.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680" w:type="dxa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20"/>
                <w:lang w:val="es-BO" w:eastAsia="es-BO" w:bidi="ar-SA"/>
              </w:rPr>
              <w:t>3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8675" w:type="dxa"/>
          </w:tcPr>
          <w:p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Implementar la agrupación de recepciones por bloques (A, B y C) y capacitar a todo el personal para atender pacientes de otros médicos dentro del mismo bloque.</w:t>
            </w:r>
          </w:p>
        </w:tc>
      </w:tr>
      <w:tr>
        <w:tc>
          <w:tcPr>
            <w:tcW w:type="dxa" w:w="4986"/>
            <w:shd w:val="clear" w:color="auto" w:fill="F2F2F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680" w:type="dxa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20"/>
                <w:lang w:val="es-BO" w:eastAsia="es-BO" w:bidi="ar-SA"/>
              </w:rPr>
              <w:t>4</w:t>
            </w:r>
          </w:p>
        </w:tc>
        <w:tc>
          <w:tcPr>
            <w:tcW w:type="dxa" w:w="4986"/>
            <w:shd w:val="clear" w:color="auto" w:fill="F2F2F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8675" w:type="dxa"/>
          </w:tcPr>
          <w:p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Prohibir la entrega de precios a pacientes con seguro médico hasta contar con la autorización correspondiente.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680" w:type="dxa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20"/>
                <w:lang w:val="es-BO" w:eastAsia="es-BO" w:bidi="ar-SA"/>
              </w:rPr>
              <w:t>5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8675" w:type="dxa"/>
          </w:tcPr>
          <w:p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Imprimir y distribuir folletos informativos de Vitalia Ambulatorio y Vitalia Emergencias.</w:t>
            </w:r>
          </w:p>
        </w:tc>
      </w:tr>
      <w:tr>
        <w:tc>
          <w:tcPr>
            <w:tcW w:type="dxa" w:w="4986"/>
            <w:shd w:val="clear" w:color="auto" w:fill="F2F2F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680" w:type="dxa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20"/>
                <w:lang w:val="es-BO" w:eastAsia="es-BO" w:bidi="ar-SA"/>
              </w:rPr>
              <w:t>6</w:t>
            </w:r>
          </w:p>
        </w:tc>
        <w:tc>
          <w:tcPr>
            <w:tcW w:type="dxa" w:w="4986"/>
            <w:shd w:val="clear" w:color="auto" w:fill="F2F2F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8675" w:type="dxa"/>
          </w:tcPr>
          <w:p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Capacitar al personal nuevo en ambos planes (Vitalia + Ambulatorio y Vitalia + Emergencias).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680" w:type="dxa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20"/>
                <w:lang w:val="es-BO" w:eastAsia="es-BO" w:bidi="ar-SA"/>
              </w:rPr>
              <w:t>7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8675" w:type="dxa"/>
          </w:tcPr>
          <w:p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Enviar estadísticas diarias al grupo de capacitaciones (datos del día anterior).</w:t>
            </w:r>
          </w:p>
        </w:tc>
      </w:tr>
      <w:tr>
        <w:tc>
          <w:tcPr>
            <w:tcW w:type="dxa" w:w="4986"/>
            <w:shd w:val="clear" w:color="auto" w:fill="F2F2F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680" w:type="dxa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20"/>
                <w:lang w:val="es-BO" w:eastAsia="es-BO" w:bidi="ar-SA"/>
              </w:rPr>
              <w:t>8</w:t>
            </w:r>
          </w:p>
        </w:tc>
        <w:tc>
          <w:tcPr>
            <w:tcW w:type="dxa" w:w="4986"/>
            <w:shd w:val="clear" w:color="auto" w:fill="F2F2F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8675" w:type="dxa"/>
          </w:tcPr>
          <w:p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Generar estadísticas del área de Gestión de Pacientes: cantidad atendida vs. ventas cerradas.</w:t>
            </w:r>
          </w:p>
        </w:tc>
      </w:tr>
      <w:tr>
        <w:tc>
          <w:tcPr>
            <w:tcW w:type="dxa" w:w="498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680" w:type="dxa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20"/>
                <w:lang w:val="es-BO" w:eastAsia="es-BO" w:bidi="ar-SA"/>
              </w:rPr>
              <w:t>9</w:t>
            </w:r>
          </w:p>
        </w:tc>
        <w:tc>
          <w:tcPr>
            <w:tcW w:type="dxa" w:w="498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8675" w:type="dxa"/>
          </w:tcPr>
          <w:p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Cada colaborador debe registrar y enviar sus ventas diarias al grupo de capacitaciones según el compromiso individual establecido.</w:t>
            </w:r>
          </w:p>
        </w:tc>
      </w:tr>
      <w:tr>
        <w:tc>
          <w:tcPr>
            <w:tcW w:type="dxa" w:w="4986"/>
            <w:shd w:val="clear" w:color="auto" w:fill="F2F2F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680" w:type="dxa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20"/>
                <w:lang w:val="es-BO" w:eastAsia="es-BO" w:bidi="ar-SA"/>
              </w:rPr>
              <w:t>10</w:t>
            </w:r>
          </w:p>
        </w:tc>
        <w:tc>
          <w:tcPr>
            <w:tcW w:type="dxa" w:w="4986"/>
            <w:shd w:val="clear" w:color="auto" w:fill="F2F2F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bottom w:w="80" w:type="dxa"/>
              <w:left w:w="150" w:type="dxa"/>
              <w:right w:w="150" w:type="dxa"/>
            </w:tcMar>
            <w:tcW w:w="8675" w:type="dxa"/>
          </w:tcPr>
          <w:p>
            <w:r>
              <w:rPr>
                <w:rFonts w:ascii="Arial" w:hAnsi="Arial"/>
                <w:b w:val="0"/>
                <w:color w:val="000000"/>
                <w:sz w:val="20"/>
                <w:lang w:val="es-BO" w:eastAsia="es-BO" w:bidi="ar-SA"/>
              </w:rPr>
              <w:t>Coordinar con Gicela y Gaby el cronograma de capacitaciones por área.</w:t>
            </w:r>
          </w:p>
        </w:tc>
      </w:tr>
    </w:tbl>
    <w:p/>
    <w:p>
      <w:pPr>
        <w:spacing w:before="240"/>
        <w:jc w:val="center"/>
        <w:pBdr>
          <w:top w:val="single" w:sz="6" w:space="1" w:color="1F3864"/>
        </w:pBdr>
      </w:pPr>
      <w:r>
        <w:rPr>
          <w:rFonts w:ascii="Arial" w:hAnsi="Arial"/>
          <w:b/>
          <w:color w:val="1F3864"/>
          <w:sz w:val="22"/>
          <w:lang w:val="es-BO" w:eastAsia="es-BO" w:bidi="ar-SA"/>
        </w:rPr>
        <w:t>Ing. Marcelo Hugo Mercado</w:t>
      </w:r>
    </w:p>
    <w:p>
      <w:pPr>
        <w:jc w:val="center"/>
      </w:pPr>
      <w:r>
        <w:rPr>
          <w:rFonts w:ascii="Arial" w:hAnsi="Arial"/>
          <w:b w:val="0"/>
          <w:color w:val="444444"/>
          <w:sz w:val="20"/>
          <w:lang w:val="es-BO" w:eastAsia="es-BO" w:bidi="ar-SA"/>
        </w:rPr>
        <w:t>Gerente de Operaciones — Clínica Ángel Foianini Ltda.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984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2E75B6"/>
      </w:pBdr>
    </w:pPr>
    <w:r>
      <w:rPr>
        <w:rFonts w:ascii="Arial" w:hAnsi="Arial"/>
        <w:b w:val="0"/>
        <w:color w:val="666666"/>
        <w:sz w:val="16"/>
        <w:lang w:val="es-BO" w:eastAsia="es-BO" w:bidi="ar-SA"/>
      </w:rPr>
      <w:t>Ing. Marcelo Hugo Mercado  —  Gerente de Operaciones  —  Clínica Ángel Foianini Ltda.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  <w:shd w:val="clear" w:color="auto" w:fill="1F3864"/>
          <w:tcMar>
            <w:top w:w="100" w:type="dxa"/>
            <w:bottom w:w="100" w:type="dxa"/>
            <w:left w:w="200" w:type="dxa"/>
            <w:right w:w="100" w:type="dxa"/>
          </w:tcMar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r>
            <w:rPr>
              <w:rFonts w:ascii="Arial" w:hAnsi="Arial"/>
              <w:b/>
              <w:color w:val="FFFFFF"/>
              <w:sz w:val="22"/>
              <w:lang w:val="es-BO" w:eastAsia="es-BO" w:bidi="ar-SA"/>
            </w:rPr>
            <w:t>CLÍNICA ÁNGEL FOIANINI LTDA.</w:t>
          </w:r>
        </w:p>
        <w:p>
          <w:r>
            <w:rPr>
              <w:rFonts w:ascii="Arial" w:hAnsi="Arial"/>
              <w:b w:val="0"/>
              <w:color w:val="BDD7EE"/>
              <w:sz w:val="18"/>
              <w:lang w:val="es-BO" w:eastAsia="es-BO" w:bidi="ar-SA"/>
            </w:rPr>
            <w:t>Gerencia de Operaciones</w:t>
          </w:r>
        </w:p>
      </w:tc>
      <w:tc>
        <w:tcPr>
          <w:tcW w:type="dxa" w:w="4680"/>
          <w:shd w:val="clear" w:color="auto" w:fill="2E75B6"/>
          <w:tcMar>
            <w:top w:w="100" w:type="dxa"/>
            <w:bottom w:w="100" w:type="dxa"/>
            <w:left w:w="150" w:type="dxa"/>
            <w:right w:w="150" w:type="dxa"/>
          </w:tcMar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pPr>
            <w:jc w:val="center"/>
          </w:pPr>
          <w:r>
            <w:rPr>
              <w:rFonts w:ascii="Arial" w:hAnsi="Arial"/>
              <w:b/>
              <w:color w:val="FFFFFF"/>
              <w:sz w:val="20"/>
              <w:lang w:val="es-BO" w:eastAsia="es-BO" w:bidi="ar-SA"/>
            </w:rPr>
            <w:t>ACTA DE REUNIÓN</w:t>
          </w:r>
        </w:p>
        <w:p>
          <w:pPr>
            <w:jc w:val="center"/>
          </w:pPr>
          <w:r>
            <w:rPr>
              <w:rFonts w:ascii="Arial" w:hAnsi="Arial"/>
              <w:b w:val="0"/>
              <w:color w:val="FFFFFF"/>
              <w:sz w:val="18"/>
              <w:lang w:val="es-BO" w:eastAsia="es-BO" w:bidi="ar-SA"/>
            </w:rPr>
            <w:t>23 de abril de 2026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s-BO" w:eastAsia="es-BO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