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cs="Arial"/>
          <w:b/>
          <w:i w:val="0"/>
          <w:color w:val="1F4E79"/>
          <w:sz w:val="44"/>
        </w:rPr>
        <w:t>Dataset Recommendations</w:t>
      </w:r>
    </w:p>
    <w:p>
      <w:pPr>
        <w:jc w:val="center"/>
      </w:pPr>
      <w:r>
        <w:rPr>
          <w:rFonts w:ascii="Arial" w:hAnsi="Arial" w:cs="Arial"/>
          <w:b w:val="0"/>
          <w:i/>
          <w:color w:val="606060"/>
          <w:sz w:val="24"/>
        </w:rPr>
        <w:t>Multi-Modal Learning of Visual, Structural, and Attention Features for UX Quality Assessment</w:t>
      </w:r>
    </w:p>
    <w:p>
      <w:pPr>
        <w:spacing w:after="240"/>
        <w:jc w:val="center"/>
      </w:pPr>
      <w:r>
        <w:rPr>
          <w:rFonts w:ascii="Arial" w:hAnsi="Arial" w:cs="Arial"/>
          <w:b w:val="0"/>
          <w:i w:val="0"/>
          <w:color w:val="606060"/>
          <w:sz w:val="20"/>
        </w:rPr>
        <w:t>Scope: Website only  ·  Focus: Datasets with Ground Truth (GT) for evaluation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1. ภาพรวม: pipeline ↔ dataset</w:t>
      </w:r>
    </w:p>
    <w:p>
      <w:pPr>
        <w:spacing w:before="80" w:after="160"/>
      </w:pPr>
      <w:r>
        <w:rPr>
          <w:rFonts w:ascii="Arial" w:hAnsi="Arial" w:cs="Arial"/>
          <w:b w:val="0"/>
          <w:i w:val="0"/>
          <w:sz w:val="22"/>
        </w:rPr>
        <w:t>งานนี้ใช้สถาปัตยกรรม 3 branch (Visual / Layout / Attention) ที่หลอมรวมด้วย Cross-Modal Transformer แล้วต่อ UX Prediction Head ดังนั้น dataset ที่ต้องการแบ่งตามขั้นตอนการ train แต่ละ branch บวกกับ benchmark สำหรับ evaluation ที่มี GT ชัดเจน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Pipeline Stage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Recommended Dataset(s)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GT Type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Visual + Layout (pretrain)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เรียน feature ของ web layout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WebUI 400K, Vision2UI 20K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BBox / DOM tree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Layout Detection (fine-tune)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ตรวจจับ UI element บนเว็บ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WebUI, Klarna Product Page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BBox + class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Attention / Saliency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Train saliency predictor บนเว็บ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UEyes (web split), FiWI, WebSaliency, WIC640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Heatmap + fixation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UX Score Training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Train UX head ให้เรียน rating scale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Webthetics, Calista (rating + pairwise)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Likert 1–9 / pairwise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UX Evaluation Benchmark (★ มี GT)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เทียบผลโมเดลกับ literature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Miniukovich&amp;Figl 2023, Reinecke 450, Calista pairwise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MOS / multi-dim</w:t>
            </w:r>
          </w:p>
        </w:tc>
      </w:tr>
    </w:tbl>
    <w:p>
      <w:pPr>
        <w:spacing w:before="80" w:after="80"/>
      </w:pPr>
      <w:r>
        <w:rPr>
          <w:rFonts w:ascii="Arial" w:hAnsi="Arial" w:cs="Arial"/>
          <w:b w:val="0"/>
          <w:i w:val="0"/>
          <w:sz w:val="22"/>
        </w:rPr>
        <w:t xml:space="preserve"> 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2. Layout / UI Element Detection</w:t>
      </w:r>
    </w:p>
    <w:p>
      <w:pPr>
        <w:spacing w:before="80" w:after="120"/>
      </w:pPr>
      <w:r>
        <w:rPr>
          <w:rFonts w:ascii="Arial" w:hAnsi="Arial" w:cs="Arial"/>
          <w:b w:val="0"/>
          <w:i w:val="0"/>
          <w:sz w:val="22"/>
        </w:rPr>
        <w:t>Branch นี้ใช้ YOLOv8 → graph builder → GNN encoder. ต้องการ dataset ที่มี bounding box ของ UI element บนเว็บไซต์โดยเฉพาะ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Dataset</w:t>
            </w:r>
          </w:p>
        </w:tc>
        <w:tc>
          <w:tcPr>
            <w:tcW w:type="dxa" w:w="144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Size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GT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WebUI (CMU, CHI 2023)</w:t>
            </w:r>
          </w:p>
        </w:tc>
        <w:tc>
          <w:tcPr>
            <w:tcW w:type="dxa" w:w="144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400K webpages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BBox จาก accessibility tree + computed CSS (content/padding/border/margin), font, color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Pretrain หลัก ครอบคลุม element หลายแบบ มี train/val/test split พร้อม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Vision2UI (2024)</w:t>
            </w:r>
          </w:p>
        </w:tc>
        <w:tc>
          <w:tcPr>
            <w:tcW w:type="dxa" w:w="144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20K samples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Layout BBox + HTML/CSS code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Real-world web เหมาะกับการเสริม ablation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WebCode2M / UI-Bench (2025)</w:t>
            </w:r>
          </w:p>
        </w:tc>
        <w:tc>
          <w:tcPr>
            <w:tcW w:type="dxa" w:w="144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2.56M design–code pairs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Layout + code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ใช้ pretrain ขนาดใหญ่ + benchmark code-gen capability</w:t>
            </w:r>
          </w:p>
        </w:tc>
      </w:tr>
      <w:tr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PubLayNet (เดิมในโปรเจกต์)</w:t>
            </w:r>
          </w:p>
        </w:tc>
        <w:tc>
          <w:tcPr>
            <w:tcW w:type="dxa" w:w="144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360K pages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BBox (text/title/list/table/figure)</w:t>
            </w:r>
          </w:p>
        </w:tc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เป็นเอกสาร PDF ไม่ใช่เว็บ ใช้เป็น auxiliary pretrain เท่านั้น</w:t>
            </w:r>
          </w:p>
        </w:tc>
      </w:tr>
    </w:tbl>
    <w:p>
      <w:pPr>
        <w:spacing w:before="80" w:after="80"/>
      </w:pPr>
      <w:r>
        <w:rPr>
          <w:rFonts w:ascii="Arial" w:hAnsi="Arial" w:cs="Arial"/>
          <w:b w:val="0"/>
          <w:i w:val="0"/>
          <w:sz w:val="22"/>
        </w:rPr>
        <w:t xml:space="preserve"> 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3. Attention / Saliency</w:t>
      </w:r>
    </w:p>
    <w:p>
      <w:pPr>
        <w:spacing w:before="80" w:after="120"/>
      </w:pPr>
      <w:r>
        <w:rPr>
          <w:rFonts w:ascii="Arial" w:hAnsi="Arial" w:cs="Arial"/>
          <w:b w:val="0"/>
          <w:i w:val="0"/>
          <w:sz w:val="22"/>
        </w:rPr>
        <w:t>SALICON เป็น natural images ไม่ใช่เว็บ จึงควรเปลี่ยน/เสริมด้วย saliency dataset ที่เก็บจาก webpage screenshot โดยตรง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Dataset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Size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GT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UEyes (Aalto, CHI 2023)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1,980 UIs (495 web)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Saliency map 1s/3s/7s + scanpath, 62 users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★ ครอบคลุม web/desktop/mobile/poster ใช้ทั้ง train และ evaluation ได้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FiWI (Fixations in Webpage Images)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149 webpages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Eye-tracking 1000Hz, 11 users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Benchmark classic — ใช้รายงาน CC, NSS, KL, sAUC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WebSaliency (Shen &amp; Zhao)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450 webpages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Eye-tracking 1000Hz, 41 users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Mid-size ดีสำหรับ cross-dataset evaluation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WIC640 (2024)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640 webpages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Eye-tracking, 85 users 4 ช่วงอายุ ทั้งสองเพศ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Demographic diversity ดีสำหรับ generalization</w:t>
            </w:r>
          </w:p>
        </w:tc>
      </w:tr>
    </w:tbl>
    <w:p>
      <w:pPr>
        <w:spacing w:before="80" w:after="80"/>
      </w:pPr>
      <w:r>
        <w:rPr>
          <w:rFonts w:ascii="Arial" w:hAnsi="Arial" w:cs="Arial"/>
          <w:b w:val="0"/>
          <w:i w:val="0"/>
          <w:sz w:val="22"/>
        </w:rPr>
        <w:t xml:space="preserve"> 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4. UX Score Training (สำหรับ UX Head)</w:t>
      </w:r>
    </w:p>
    <w:p>
      <w:pPr>
        <w:spacing w:before="80" w:after="120"/>
      </w:pPr>
      <w:r>
        <w:rPr>
          <w:rFonts w:ascii="Arial" w:hAnsi="Arial" w:cs="Arial"/>
          <w:b w:val="0"/>
          <w:i w:val="0"/>
          <w:sz w:val="22"/>
        </w:rPr>
        <w:t>ตัว WDQD ที่ระบุไว้ใน config ไม่มีแหล่งสาธารณะที่ verify ได้ แนะนำเปลี่ยนหรือเสริมด้วยตัวที่มี GT ชัดเจนและถูก cite บ่อยใน UX/aesthetics literature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Dataset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Size</w:t>
            </w:r>
          </w:p>
        </w:tc>
        <w:tc>
          <w:tcPr>
            <w:tcW w:type="dxa" w:w="273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GT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Webthetics (Delitzas et al., 2018)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418 webpages</w:t>
            </w:r>
          </w:p>
        </w:tc>
        <w:tc>
          <w:tcPr>
            <w:tcW w:type="dxa" w:w="273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771K aesthetic ratings (Likert 1–9) จาก 32K users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ปริมาณ rating ต่อหน้าสูงมาก ดีต่อการ regression</w:t>
            </w:r>
          </w:p>
        </w:tc>
      </w:tr>
      <w:tr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Calista — Rating-based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หลายร้อย webpages</w:t>
            </w:r>
          </w:p>
        </w:tc>
        <w:tc>
          <w:tcPr>
            <w:tcW w:type="dxa" w:w="273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Numerical rating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ใช้คู่กับ pairwise dataset ในระบบเดียวกันได้</w:t>
            </w:r>
          </w:p>
        </w:tc>
      </w:tr>
      <w:tr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Calista — Comparison-based (2023)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100 webpages × 5,094 pairwise</w:t>
            </w:r>
          </w:p>
        </w:tc>
        <w:tc>
          <w:tcPr>
            <w:tcW w:type="dxa" w:w="273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Pairwise preference (A vs. B)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★ เหมาะกับ ranking loss / Bradley-Terry</w:t>
            </w:r>
          </w:p>
        </w:tc>
      </w:tr>
      <w:tr>
        <w:tc>
          <w:tcPr>
            <w:tcW w:type="dxa" w:w="244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Reinecke et al. (TOCHI 2022) — Rating Distributions</w:t>
            </w:r>
          </w:p>
        </w:tc>
        <w:tc>
          <w:tcPr>
            <w:tcW w:type="dxa" w:w="1872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ขยายจาก Reinecke 2013</w:t>
            </w:r>
          </w:p>
        </w:tc>
        <w:tc>
          <w:tcPr>
            <w:tcW w:type="dxa" w:w="273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Rating distribution ไม่ใช่แค่ค่าเฉลี่ย</w:t>
            </w:r>
          </w:p>
        </w:tc>
        <w:tc>
          <w:tcPr>
            <w:tcW w:type="dxa" w:w="216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เหมาะถ้าต้อง predict uncertainty</w:t>
            </w:r>
          </w:p>
        </w:tc>
      </w:tr>
    </w:tbl>
    <w:p>
      <w:pPr>
        <w:spacing w:before="80" w:after="80"/>
      </w:pPr>
      <w:r>
        <w:rPr>
          <w:rFonts w:ascii="Arial" w:hAnsi="Arial" w:cs="Arial"/>
          <w:b w:val="0"/>
          <w:i w:val="0"/>
          <w:sz w:val="22"/>
        </w:rPr>
        <w:t xml:space="preserve"> 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5. UX Evaluation Benchmark (★ มี GT — ตัวที่คุณต้องการ)</w:t>
      </w:r>
    </w:p>
    <w:p>
      <w:pPr>
        <w:spacing w:before="80" w:after="120"/>
      </w:pPr>
      <w:r>
        <w:rPr>
          <w:rFonts w:ascii="Arial" w:hAnsi="Arial" w:cs="Arial"/>
          <w:b w:val="0"/>
          <w:i w:val="0"/>
          <w:sz w:val="22"/>
        </w:rPr>
        <w:t>ส่วนสำคัญที่สุดของคำถาม: dataset ที่มี GT พร้อมเทียบผลโมเดล UX assessment ของคุณกับ baseline / literature ได้ทันที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Dataset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Size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GT (มิติที่วัด)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เหตุผลที่แนะนำ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Miniukovich &amp; Figl (Data in Brief, 2023)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~3,156 homepages (Banking 1,033 + E-commerce 1,064 + University 1,059)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Prototypicality, Visual Aesthetics, Perceived Usability, Trustworthiness — จาก MTurk 3,319 sessions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★★ ตรงกับ UX assessment มากที่สุด เพราะมีหลายมิติ → match กับ multi-head ของโมเดลคุณ (UX score, layout quality, attention alignment)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Reinecke &amp; Gajos (CHI 2013) — 450 websites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450 websites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Visual appeal, Visual complexity, Colorfulness — 548 ผู้ประเมิน, viewing 500ms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★ Golden benchmark — งานวิจัย web aesthetics ส่วนใหญ่อ้างอิง dataset นี้ ต้องรายงานผลเพื่อเทียบกับ literature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Calista Pairwise (2023)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100 webpages × 5,094 comparisons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Pairwise preference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ใช้ Kendall's τ / Spearman ρ เทียบ ranking ของโมเดล ดีกว่าการ regress ค่าเฉลี่ย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UICrit (Google, 2024)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983 unique UIs + 3,059 critique pairs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Rubric-based design quality (aesthetics + usability)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F7F7F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ผสม mobile/web — ใช้เฉพาะ web subset เป็น qualitative evaluation เสริม</w:t>
            </w:r>
          </w:p>
        </w:tc>
      </w:tr>
      <w:tr>
        <w:tc>
          <w:tcPr>
            <w:tcW w:type="dxa" w:w="23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Webthetics test split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ส่วนหนึ่งของ 418 หน้า</w:t>
            </w:r>
          </w:p>
        </w:tc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Likert 1–9 rating</w:t>
            </w:r>
          </w:p>
        </w:tc>
        <w:tc>
          <w:tcPr>
            <w:tcW w:type="dxa" w:w="201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Held-out set ของ training distribution — รายงาน MAE / PLCC / SRCC</w:t>
            </w:r>
          </w:p>
        </w:tc>
      </w:tr>
    </w:tbl>
    <w:p>
      <w:pPr>
        <w:spacing w:before="80" w:after="80"/>
      </w:pPr>
      <w:r>
        <w:rPr>
          <w:rFonts w:ascii="Arial" w:hAnsi="Arial" w:cs="Arial"/>
          <w:b w:val="0"/>
          <w:i w:val="0"/>
          <w:sz w:val="22"/>
        </w:rPr>
        <w:t xml:space="preserve"> 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6. คำแนะนำ evaluation protocol</w:t>
      </w:r>
    </w:p>
    <w:p>
      <w:pPr>
        <w:pStyle w:val="ListBullet"/>
        <w:spacing w:before="40" w:after="40"/>
      </w:pPr>
      <w:r>
        <w:rPr>
          <w:rFonts w:ascii="Arial" w:hAnsi="Arial" w:cs="Arial"/>
          <w:b/>
          <w:i w:val="0"/>
          <w:sz w:val="22"/>
        </w:rPr>
        <w:t>Saliency branch:</w:t>
      </w:r>
      <w:r>
        <w:rPr>
          <w:rFonts w:ascii="Arial" w:hAnsi="Arial" w:cs="Arial"/>
          <w:b w:val="0"/>
          <w:i w:val="0"/>
          <w:sz w:val="22"/>
        </w:rPr>
        <w:t xml:space="preserve"> report CC, NSS, KL, sAUC, AUC-Judd บน FiWI + UEyes (web split) + WIC640</w:t>
      </w:r>
    </w:p>
    <w:p>
      <w:pPr>
        <w:pStyle w:val="ListBullet"/>
        <w:spacing w:before="40" w:after="40"/>
      </w:pPr>
      <w:r>
        <w:rPr>
          <w:rFonts w:ascii="Arial" w:hAnsi="Arial" w:cs="Arial"/>
          <w:b/>
          <w:i w:val="0"/>
          <w:sz w:val="22"/>
        </w:rPr>
        <w:t>Layout branch:</w:t>
      </w:r>
      <w:r>
        <w:rPr>
          <w:rFonts w:ascii="Arial" w:hAnsi="Arial" w:cs="Arial"/>
          <w:b w:val="0"/>
          <w:i w:val="0"/>
          <w:sz w:val="22"/>
        </w:rPr>
        <w:t xml:space="preserve"> report mAP@[0.5:0.95], AP_50, AR บน WebUI test + Vision2UI test</w:t>
      </w:r>
    </w:p>
    <w:p>
      <w:pPr>
        <w:pStyle w:val="ListBullet"/>
        <w:spacing w:before="40" w:after="40"/>
      </w:pPr>
      <w:r>
        <w:rPr>
          <w:rFonts w:ascii="Arial" w:hAnsi="Arial" w:cs="Arial"/>
          <w:b/>
          <w:i w:val="0"/>
          <w:sz w:val="22"/>
        </w:rPr>
        <w:t>UX head (regression):</w:t>
      </w:r>
      <w:r>
        <w:rPr>
          <w:rFonts w:ascii="Arial" w:hAnsi="Arial" w:cs="Arial"/>
          <w:b w:val="0"/>
          <w:i w:val="0"/>
          <w:sz w:val="22"/>
        </w:rPr>
        <w:t xml:space="preserve"> report MAE, RMSE, PLCC, SRCC บน Webthetics test และ Reinecke 450</w:t>
      </w:r>
    </w:p>
    <w:p>
      <w:pPr>
        <w:pStyle w:val="ListBullet"/>
        <w:spacing w:before="40" w:after="40"/>
      </w:pPr>
      <w:r>
        <w:rPr>
          <w:rFonts w:ascii="Arial" w:hAnsi="Arial" w:cs="Arial"/>
          <w:b/>
          <w:i w:val="0"/>
          <w:sz w:val="22"/>
        </w:rPr>
        <w:t>UX head (multi-dim):</w:t>
      </w:r>
      <w:r>
        <w:rPr>
          <w:rFonts w:ascii="Arial" w:hAnsi="Arial" w:cs="Arial"/>
          <w:b w:val="0"/>
          <w:i w:val="0"/>
          <w:sz w:val="22"/>
        </w:rPr>
        <w:t xml:space="preserve"> report Pearson r ต่อ 4 มิติ (prototypicality / aesthetics / usability / trust) บน Miniukovich &amp; Figl 2023</w:t>
      </w:r>
    </w:p>
    <w:p>
      <w:pPr>
        <w:pStyle w:val="ListBullet"/>
        <w:spacing w:before="40" w:after="40"/>
      </w:pPr>
      <w:r>
        <w:rPr>
          <w:rFonts w:ascii="Arial" w:hAnsi="Arial" w:cs="Arial"/>
          <w:b/>
          <w:i w:val="0"/>
          <w:sz w:val="22"/>
        </w:rPr>
        <w:t>UX head (ranking):</w:t>
      </w:r>
      <w:r>
        <w:rPr>
          <w:rFonts w:ascii="Arial" w:hAnsi="Arial" w:cs="Arial"/>
          <w:b w:val="0"/>
          <w:i w:val="0"/>
          <w:sz w:val="22"/>
        </w:rPr>
        <w:t xml:space="preserve"> report Kendall's τ + Pairwise accuracy บน Calista comparison set</w:t>
      </w:r>
    </w:p>
    <w:p>
      <w:pPr>
        <w:pStyle w:val="ListBullet"/>
        <w:spacing w:before="40" w:after="40"/>
      </w:pPr>
      <w:r>
        <w:rPr>
          <w:rFonts w:ascii="Arial" w:hAnsi="Arial" w:cs="Arial"/>
          <w:b/>
          <w:i w:val="0"/>
          <w:sz w:val="22"/>
        </w:rPr>
        <w:t>Cross-dataset generalization:</w:t>
      </w:r>
      <w:r>
        <w:rPr>
          <w:rFonts w:ascii="Arial" w:hAnsi="Arial" w:cs="Arial"/>
          <w:b w:val="0"/>
          <w:i w:val="0"/>
          <w:sz w:val="22"/>
        </w:rPr>
        <w:t xml:space="preserve"> train บน Webthetics, test zero-shot บน Reinecke + Miniukovich (รายงานเพิ่มในตาราง ablation)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7. สรุป Quick-pick (ถ้าจะเลือกแค่ 5 ตัวให้เพียงพอกับงาน)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7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Dataset</w:t>
            </w:r>
          </w:p>
        </w:tc>
        <w:tc>
          <w:tcPr>
            <w:tcW w:type="dxa" w:w="59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1F4E79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22"/>
              </w:rPr>
              <w:t>ใช้ทำอะไรในงาน</w:t>
            </w:r>
          </w:p>
        </w:tc>
      </w:tr>
      <w:tr>
        <w:tc>
          <w:tcPr>
            <w:tcW w:type="dxa" w:w="57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WebUI (CMU)</w:t>
            </w:r>
          </w:p>
        </w:tc>
        <w:tc>
          <w:tcPr>
            <w:tcW w:type="dxa" w:w="59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Pretrain visual + layout backbone</w:t>
            </w:r>
          </w:p>
        </w:tc>
      </w:tr>
      <w:tr>
        <w:tc>
          <w:tcPr>
            <w:tcW w:type="dxa" w:w="57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UEyes (web split)</w:t>
            </w:r>
          </w:p>
        </w:tc>
        <w:tc>
          <w:tcPr>
            <w:tcW w:type="dxa" w:w="59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Train + evaluate saliency branch</w:t>
            </w:r>
          </w:p>
        </w:tc>
      </w:tr>
      <w:tr>
        <w:tc>
          <w:tcPr>
            <w:tcW w:type="dxa" w:w="57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Webthetics</w:t>
            </w:r>
          </w:p>
        </w:tc>
        <w:tc>
          <w:tcPr>
            <w:tcW w:type="dxa" w:w="59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Train UX score head</w:t>
            </w:r>
          </w:p>
        </w:tc>
      </w:tr>
      <w:tr>
        <w:tc>
          <w:tcPr>
            <w:tcW w:type="dxa" w:w="57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Miniukovich &amp; Figl 2023</w:t>
            </w:r>
          </w:p>
        </w:tc>
        <w:tc>
          <w:tcPr>
            <w:tcW w:type="dxa" w:w="59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Multi-dimensional UX evaluation (★ GT)</w:t>
            </w:r>
          </w:p>
        </w:tc>
      </w:tr>
      <w:tr>
        <w:tc>
          <w:tcPr>
            <w:tcW w:type="dxa" w:w="576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Reinecke 450 + Calista pairwise</w:t>
            </w:r>
          </w:p>
        </w:tc>
        <w:tc>
          <w:tcPr>
            <w:tcW w:type="dxa" w:w="5904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shd w:val="clear" w:color="auto" w:fill="E8F4D7"/>
            <w:vAlign w:val="top"/>
          </w:tcPr>
          <w:p>
            <w:pPr>
              <w:spacing w:before="40" w:after="40"/>
            </w:pPr>
            <w:r/>
            <w:r>
              <w:rPr>
                <w:rFonts w:ascii="Arial" w:hAnsi="Arial" w:cs="Arial"/>
                <w:b w:val="0"/>
                <w:i w:val="0"/>
                <w:sz w:val="20"/>
              </w:rPr>
              <w:t>Literature-comparable benchmark (★ GT)</w:t>
            </w:r>
          </w:p>
        </w:tc>
      </w:tr>
    </w:tbl>
    <w:p>
      <w:pPr>
        <w:spacing w:before="80" w:after="80"/>
      </w:pPr>
      <w:r>
        <w:rPr>
          <w:rFonts w:ascii="Arial" w:hAnsi="Arial" w:cs="Arial"/>
          <w:b w:val="0"/>
          <w:i w:val="0"/>
          <w:sz w:val="22"/>
        </w:rPr>
        <w:t xml:space="preserve"> </w:t>
      </w:r>
    </w:p>
    <w:p>
      <w:pPr>
        <w:keepNext/>
        <w:spacing w:before="320" w:after="160"/>
        <w:outlineLvl w:val="0"/>
      </w:pPr>
      <w:r>
        <w:rPr>
          <w:rFonts w:ascii="Arial" w:hAnsi="Arial" w:cs="Arial"/>
          <w:b/>
          <w:i w:val="0"/>
          <w:color w:val="1F4E79"/>
          <w:sz w:val="32"/>
        </w:rPr>
        <w:t>8. References &amp; Links</w:t>
      </w:r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WebUI (CHI 2023) — </w:t>
      </w:r>
      <w:hyperlink r:id="rId9">
        <w:r>
          <w:rPr>
            <w:rFonts w:ascii="Arial" w:hAnsi="Arial"/>
            <w:color w:val="2E75B6"/>
            <w:u w:val="single"/>
            <w:sz w:val="20"/>
          </w:rPr>
          <w:t>https://uimodeling.github.io/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WebUI paper (arXiv) — </w:t>
      </w:r>
      <w:hyperlink r:id="rId10">
        <w:r>
          <w:rPr>
            <w:rFonts w:ascii="Arial" w:hAnsi="Arial"/>
            <w:color w:val="2E75B6"/>
            <w:u w:val="single"/>
            <w:sz w:val="20"/>
          </w:rPr>
          <w:t>https://arxiv.org/abs/2301.13280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Vision2UI (arXiv 2024) — </w:t>
      </w:r>
      <w:hyperlink r:id="rId11">
        <w:r>
          <w:rPr>
            <w:rFonts w:ascii="Arial" w:hAnsi="Arial"/>
            <w:color w:val="2E75B6"/>
            <w:u w:val="single"/>
            <w:sz w:val="20"/>
          </w:rPr>
          <w:t>https://arxiv.org/html/2404.06369v1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UI-Bench (arXiv 2508.20410) — </w:t>
      </w:r>
      <w:hyperlink r:id="rId12">
        <w:r>
          <w:rPr>
            <w:rFonts w:ascii="Arial" w:hAnsi="Arial"/>
            <w:color w:val="2E75B6"/>
            <w:u w:val="single"/>
            <w:sz w:val="20"/>
          </w:rPr>
          <w:t>https://arxiv.org/pdf/2508.20410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UEyes (CHI 2023, arXiv 2402.05202) — </w:t>
      </w:r>
      <w:hyperlink r:id="rId13">
        <w:r>
          <w:rPr>
            <w:rFonts w:ascii="Arial" w:hAnsi="Arial"/>
            <w:color w:val="2E75B6"/>
            <w:u w:val="single"/>
            <w:sz w:val="20"/>
          </w:rPr>
          <w:t>https://arxiv.org/abs/2402.05202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UEyes GitHub — </w:t>
      </w:r>
      <w:hyperlink r:id="rId14">
        <w:r>
          <w:rPr>
            <w:rFonts w:ascii="Arial" w:hAnsi="Arial"/>
            <w:color w:val="2E75B6"/>
            <w:u w:val="single"/>
            <w:sz w:val="20"/>
          </w:rPr>
          <w:t>https://github.com/YueJiang-nj/UEyes-CHI2023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Webpage Saliency (FiWI) — </w:t>
      </w:r>
      <w:hyperlink r:id="rId15">
        <w:r>
          <w:rPr>
            <w:rFonts w:ascii="Arial" w:hAnsi="Arial"/>
            <w:color w:val="2E75B6"/>
            <w:u w:val="single"/>
            <w:sz w:val="20"/>
          </w:rPr>
          <w:t>https://www-users.cse.umn.edu/~qzhao/webpage_saliency.html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Gender-aware saliency / WIC640 (Brain Informatics 2025) — </w:t>
      </w:r>
      <w:hyperlink r:id="rId16">
        <w:r>
          <w:rPr>
            <w:rFonts w:ascii="Arial" w:hAnsi="Arial"/>
            <w:color w:val="2E75B6"/>
            <w:u w:val="single"/>
            <w:sz w:val="20"/>
          </w:rPr>
          <w:t>https://braininformatics.springeropen.com/articles/10.1186/s40708-025-00274-x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Webthetics (ScienceDirect) — </w:t>
      </w:r>
      <w:hyperlink r:id="rId17">
        <w:r>
          <w:rPr>
            <w:rFonts w:ascii="Arial" w:hAnsi="Arial"/>
            <w:color w:val="2E75B6"/>
            <w:u w:val="single"/>
            <w:sz w:val="20"/>
          </w:rPr>
          <w:t>https://www.sciencedirect.com/science/article/abs/pii/S1071581918306682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Calista paper (IJHCS 2023) — </w:t>
      </w:r>
      <w:hyperlink r:id="rId18">
        <w:r>
          <w:rPr>
            <w:rFonts w:ascii="Arial" w:hAnsi="Arial"/>
            <w:color w:val="2E75B6"/>
            <w:u w:val="single"/>
            <w:sz w:val="20"/>
          </w:rPr>
          <w:t>https://www.sciencedirect.com/science/article/abs/pii/S1071581923000253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Calista datasets (GitHub) — </w:t>
      </w:r>
      <w:hyperlink r:id="rId19">
        <w:r>
          <w:rPr>
            <w:rFonts w:ascii="Arial" w:hAnsi="Arial"/>
            <w:color w:val="2E75B6"/>
            <w:u w:val="single"/>
            <w:sz w:val="20"/>
          </w:rPr>
          <w:t>https://github.com/calista-ai/website-aesthetics-datasets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Reinecke &amp; Gajos (CHI 2013) — </w:t>
      </w:r>
      <w:hyperlink r:id="rId20">
        <w:r>
          <w:rPr>
            <w:rFonts w:ascii="Arial" w:hAnsi="Arial"/>
            <w:color w:val="2E75B6"/>
            <w:u w:val="single"/>
            <w:sz w:val="20"/>
          </w:rPr>
          <w:t>https://www.eecs.harvard.edu/~kgajos/papers/2013/reinecke13aesthetics.pdf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Reinecke et al. — Rating Distributions (TOCHI 2022) — </w:t>
      </w:r>
      <w:hyperlink r:id="rId21">
        <w:r>
          <w:rPr>
            <w:rFonts w:ascii="Arial" w:hAnsi="Arial"/>
            <w:color w:val="2E75B6"/>
            <w:u w:val="single"/>
            <w:sz w:val="20"/>
          </w:rPr>
          <w:t>https://dl.acm.org/doi/10.1145/3569889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Miniukovich &amp; Figl dataset (Data in Brief, 2023) — </w:t>
      </w:r>
      <w:hyperlink r:id="rId22">
        <w:r>
          <w:rPr>
            <w:rFonts w:ascii="Arial" w:hAnsi="Arial"/>
            <w:color w:val="2E75B6"/>
            <w:u w:val="single"/>
            <w:sz w:val="20"/>
          </w:rPr>
          <w:t>https://www.sciencedirect.com/science/article/pii/S2352340923010077</w:t>
        </w:r>
      </w:hyperlink>
    </w:p>
    <w:p>
      <w:pPr>
        <w:pStyle w:val="ListBullet"/>
        <w:spacing w:before="40" w:after="40"/>
      </w:pPr>
      <w:r>
        <w:rPr>
          <w:rFonts w:ascii="Arial" w:hAnsi="Arial" w:cs="Arial"/>
          <w:b w:val="0"/>
          <w:i w:val="0"/>
          <w:sz w:val="20"/>
        </w:rPr>
        <w:t xml:space="preserve">UICrit (arXiv 2407.08850) — </w:t>
      </w:r>
      <w:hyperlink r:id="rId23">
        <w:r>
          <w:rPr>
            <w:rFonts w:ascii="Arial" w:hAnsi="Arial"/>
            <w:color w:val="2E75B6"/>
            <w:u w:val="single"/>
            <w:sz w:val="20"/>
          </w:rPr>
          <w:t>https://arxiv.org/html/2407.08850v2</w:t>
        </w:r>
      </w:hyperlink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imodeling.github.io/" TargetMode="External"/><Relationship Id="rId10" Type="http://schemas.openxmlformats.org/officeDocument/2006/relationships/hyperlink" Target="https://arxiv.org/abs/2301.13280" TargetMode="External"/><Relationship Id="rId11" Type="http://schemas.openxmlformats.org/officeDocument/2006/relationships/hyperlink" Target="https://arxiv.org/html/2404.06369v1" TargetMode="External"/><Relationship Id="rId12" Type="http://schemas.openxmlformats.org/officeDocument/2006/relationships/hyperlink" Target="https://arxiv.org/pdf/2508.20410" TargetMode="External"/><Relationship Id="rId13" Type="http://schemas.openxmlformats.org/officeDocument/2006/relationships/hyperlink" Target="https://arxiv.org/abs/2402.05202" TargetMode="External"/><Relationship Id="rId14" Type="http://schemas.openxmlformats.org/officeDocument/2006/relationships/hyperlink" Target="https://github.com/YueJiang-nj/UEyes-CHI2023" TargetMode="External"/><Relationship Id="rId15" Type="http://schemas.openxmlformats.org/officeDocument/2006/relationships/hyperlink" Target="https://www-users.cse.umn.edu/~qzhao/webpage_saliency.html" TargetMode="External"/><Relationship Id="rId16" Type="http://schemas.openxmlformats.org/officeDocument/2006/relationships/hyperlink" Target="https://braininformatics.springeropen.com/articles/10.1186/s40708-025-00274-x" TargetMode="External"/><Relationship Id="rId17" Type="http://schemas.openxmlformats.org/officeDocument/2006/relationships/hyperlink" Target="https://www.sciencedirect.com/science/article/abs/pii/S1071581918306682" TargetMode="External"/><Relationship Id="rId18" Type="http://schemas.openxmlformats.org/officeDocument/2006/relationships/hyperlink" Target="https://www.sciencedirect.com/science/article/abs/pii/S1071581923000253" TargetMode="External"/><Relationship Id="rId19" Type="http://schemas.openxmlformats.org/officeDocument/2006/relationships/hyperlink" Target="https://github.com/calista-ai/website-aesthetics-datasets" TargetMode="External"/><Relationship Id="rId20" Type="http://schemas.openxmlformats.org/officeDocument/2006/relationships/hyperlink" Target="https://www.eecs.harvard.edu/~kgajos/papers/2013/reinecke13aesthetics.pdf" TargetMode="External"/><Relationship Id="rId21" Type="http://schemas.openxmlformats.org/officeDocument/2006/relationships/hyperlink" Target="https://dl.acm.org/doi/10.1145/3569889" TargetMode="External"/><Relationship Id="rId22" Type="http://schemas.openxmlformats.org/officeDocument/2006/relationships/hyperlink" Target="https://www.sciencedirect.com/science/article/pii/S2352340923010077" TargetMode="External"/><Relationship Id="rId23" Type="http://schemas.openxmlformats.org/officeDocument/2006/relationships/hyperlink" Target="https://arxiv.org/html/2407.08850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