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sz w:val="72"/>
          <w:szCs w:val="72"/>
        </w:rPr>
        <w:t xml:space="preserve">🏦</w:t>
      </w:r>
    </w:p>
    <w:p>
      <w:pPr>
        <w:spacing w:after="120" w:before="200"/>
        <w:jc w:val="center"/>
      </w:pPr>
      <w:r>
        <w:rPr>
          <w:b/>
          <w:bCs/>
          <w:color w:val="00ADB5"/>
          <w:sz w:val="44"/>
          <w:szCs w:val="44"/>
        </w:rPr>
        <w:t xml:space="preserve">Bank Customer Churn Analytics</w:t>
      </w:r>
    </w:p>
    <w:p>
      <w:pPr>
        <w:spacing w:after="400"/>
        <w:jc w:val="center"/>
      </w:pPr>
      <w:r>
        <w:rPr>
          <w:i/>
          <w:iCs/>
          <w:color w:val="1F2937"/>
          <w:sz w:val="26"/>
          <w:szCs w:val="26"/>
        </w:rPr>
        <w:t xml:space="preserve">A Behavioral and Relationship-Strength Approach to Retention Analytics</w:t>
      </w:r>
    </w:p>
    <w:p>
      <w:pPr>
        <w:spacing w:after="80"/>
        <w:jc w:val="center"/>
      </w:pPr>
      <w:r>
        <w:rPr>
          <w:sz w:val="22"/>
          <w:szCs w:val="22"/>
        </w:rPr>
        <w:t xml:space="preserve">Research Paper — Exploratory Data Analysis, Insights &amp; Recommendations</w:t>
      </w:r>
    </w:p>
    <w:p>
      <w:pPr>
        <w:spacing w:after="40"/>
        <w:jc w:val="center"/>
      </w:pPr>
      <w:r>
        <w:rPr>
          <w:color w:val="555555"/>
          <w:sz w:val="20"/>
          <w:szCs w:val="20"/>
        </w:rPr>
        <w:t xml:space="preserve">Dataset: European Bank Customer Records (n = 10,000)</w:t>
      </w:r>
    </w:p>
    <w:p>
      <w:pPr>
        <w:jc w:val="center"/>
      </w:pPr>
      <w:r>
        <w:rPr>
          <w:color w:val="555555"/>
          <w:sz w:val="20"/>
          <w:szCs w:val="20"/>
        </w:rPr>
        <w:t xml:space="preserve">September 2026</w:t>
      </w:r>
    </w:p>
    <w:p>
      <w:r>
        <w:br w:type="page"/>
      </w:r>
    </w:p>
    <w:p>
      <w:pPr>
        <w:pStyle w:val="Heading1"/>
        <w:spacing w:after="160" w:before="320"/>
      </w:pPr>
      <w:r>
        <w:t xml:space="preserve">Abstract</w:t>
      </w:r>
    </w:p>
    <w:p>
      <w:pPr>
        <w:spacing w:after="160" w:line="300"/>
      </w:pPr>
      <w:r>
        <w:t xml:space="preserve">This paper examines customer churn within a European retail bank using a dataset of 10,000 customer records. Rather than approaching churn through demographic segmentation alone, the analysis reframes churn as a function of behavioral engagement and relationship depth — specifically, product utilization, account activity, and balance-to-salary dynamics. Overall churn stands at 20.4%. The analysis identifies engagement level as the single strongest and most actionable predictor of churn: fully engaged customers churn at 9.7%, versus 36.7% among disengaged customers — a 27-percentage-point spread. Geography (Germany vs. France/Spain), gender, product count, and balance-activity interactions further sharpen the risk picture. The paper closes with a prioritized set of retention interventions targeting the highest-value, highest-risk segments.</w:t>
      </w:r>
    </w:p>
    <w:p>
      <w:pPr>
        <w:pStyle w:val="Heading1"/>
        <w:spacing w:after="160" w:before="320"/>
      </w:pPr>
      <w:r>
        <w:t xml:space="preserve">1. Introduction</w:t>
      </w:r>
    </w:p>
    <w:p>
      <w:pPr>
        <w:spacing w:after="160" w:line="300"/>
      </w:pPr>
      <w:r>
        <w:t xml:space="preserve">Customer churn — the loss of existing customers — is one of the most direct threats to a retail bank's revenue base, since acquiring a new customer is consistently more expensive than retaining an existing one. Traditional churn analyses often lean heavily on static demographic attributes (age, geography, income) that a bank cannot easily act on. This project instead reframes churn from a behavioral and relationship-strength perspective. By focusing on engagement and product utilization rather than demographics, it provides actionable insights for retention strategy design, product optimization, and customer loyalty enhancement.</w:t>
      </w:r>
    </w:p>
    <w:p>
      <w:pPr>
        <w:spacing w:after="160" w:line="300"/>
      </w:pPr>
      <w:r>
        <w:t xml:space="preserve">The analysis was conducted in two parts: (1) a Python-based exploratory data analysis pipeline (pandas/NumPy) that computes churn rates across engagement, product, balance, and salary dimensions, and (2) an interactive Streamlit dashboard that exposes these same metrics — engagement-vs-churn, product utilization impact, and high-value disengaged customers — to business stakeholders for self-service exploration.</w:t>
      </w:r>
    </w:p>
    <w:p>
      <w:pPr>
        <w:pStyle w:val="Heading1"/>
        <w:spacing w:after="160" w:before="320"/>
      </w:pPr>
      <w:r>
        <w:t xml:space="preserve">2. Data &amp; Methodology</w:t>
      </w:r>
    </w:p>
    <w:p>
      <w:pPr>
        <w:pStyle w:val="Heading2"/>
        <w:spacing w:after="120" w:before="240"/>
      </w:pPr>
      <w:r>
        <w:t xml:space="preserve">2.1 Dataset Overview</w:t>
      </w:r>
    </w:p>
    <w:p>
      <w:pPr>
        <w:spacing w:after="160" w:line="300"/>
      </w:pPr>
      <w:r>
        <w:t xml:space="preserve">The dataset contains 10,000 customer records with 14 fields, including credit score, geography, gender, age, tenure, account balance, number of products held, credit card ownership, active-membership status, estimated salary, and the churn outcome (Exited). No missing values or duplicate records were found; the data required no imputation.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0"/>
        <w:gridCol w:w="4500"/>
      </w:tblGrid>
      <w:tr>
        <w:trPr>
          <w:tblHeader/>
        </w:trPr>
        <w:tc>
          <w:tcPr>
            <w:tcW w:type="dxa" w:w="5000"/>
            <w:shd w:fill="00ADB5" w:color="auto" w:val="clear"/>
            <w:tcMar>
              <w:top w:type="dxa" w:w="80"/>
              <w:left w:type="dxa" w:w="100"/>
              <w:bottom w:type="dxa" w:w="80"/>
              <w:right w:type="dxa" w:w="100"/>
            </w:tcMar>
          </w:tcPr>
          <w:p>
            <w:r>
              <w:rPr>
                <w:b/>
                <w:bCs/>
                <w:color w:val="FFFFFF"/>
                <w:sz w:val="20"/>
                <w:szCs w:val="20"/>
              </w:rPr>
              <w:t xml:space="preserve">Metric</w:t>
            </w:r>
          </w:p>
        </w:tc>
        <w:tc>
          <w:tcPr>
            <w:tcW w:type="dxa" w:w="4500"/>
            <w:shd w:fill="00ADB5" w:color="auto" w:val="clear"/>
            <w:tcMar>
              <w:top w:type="dxa" w:w="80"/>
              <w:left w:type="dxa" w:w="100"/>
              <w:bottom w:type="dxa" w:w="80"/>
              <w:right w:type="dxa" w:w="100"/>
            </w:tcMar>
          </w:tcPr>
          <w:p>
            <w:r>
              <w:rPr>
                <w:b/>
                <w:bCs/>
                <w:color w:val="FFFFFF"/>
                <w:sz w:val="20"/>
                <w:szCs w:val="20"/>
              </w:rPr>
              <w:t xml:space="preserve">Value</w:t>
            </w:r>
          </w:p>
        </w:tc>
      </w:tr>
      <w:tr>
        <w:tc>
          <w:tcPr>
            <w:tcW w:type="dxa" w:w="5000"/>
            <w:tcMar>
              <w:top w:type="dxa" w:w="70"/>
              <w:left w:type="dxa" w:w="100"/>
              <w:bottom w:type="dxa" w:w="70"/>
              <w:right w:type="dxa" w:w="100"/>
            </w:tcMar>
          </w:tcPr>
          <w:p>
            <w:r>
              <w:rPr>
                <w:b w:val="false"/>
                <w:bCs w:val="false"/>
                <w:sz w:val="20"/>
                <w:szCs w:val="20"/>
              </w:rPr>
              <w:t xml:space="preserve">Total customers</w:t>
            </w:r>
          </w:p>
        </w:tc>
        <w:tc>
          <w:tcPr>
            <w:tcW w:type="dxa" w:w="4500"/>
            <w:tcMar>
              <w:top w:type="dxa" w:w="70"/>
              <w:left w:type="dxa" w:w="100"/>
              <w:bottom w:type="dxa" w:w="70"/>
              <w:right w:type="dxa" w:w="100"/>
            </w:tcMar>
          </w:tcPr>
          <w:p>
            <w:r>
              <w:rPr>
                <w:b w:val="false"/>
                <w:bCs w:val="false"/>
                <w:sz w:val="20"/>
                <w:szCs w:val="20"/>
              </w:rPr>
              <w:t xml:space="preserve">10,000</w:t>
            </w:r>
          </w:p>
        </w:tc>
      </w:tr>
      <w:tr>
        <w:tc>
          <w:tcPr>
            <w:tcW w:type="dxa" w:w="5000"/>
            <w:shd w:fill="E8F7F8" w:color="auto" w:val="clear"/>
            <w:tcMar>
              <w:top w:type="dxa" w:w="70"/>
              <w:left w:type="dxa" w:w="100"/>
              <w:bottom w:type="dxa" w:w="70"/>
              <w:right w:type="dxa" w:w="100"/>
            </w:tcMar>
          </w:tcPr>
          <w:p>
            <w:r>
              <w:rPr>
                <w:b w:val="false"/>
                <w:bCs w:val="false"/>
                <w:sz w:val="20"/>
                <w:szCs w:val="20"/>
              </w:rPr>
              <w:t xml:space="preserve">Missing values</w:t>
            </w:r>
          </w:p>
        </w:tc>
        <w:tc>
          <w:tcPr>
            <w:tcW w:type="dxa" w:w="4500"/>
            <w:shd w:fill="E8F7F8" w:color="auto" w:val="clear"/>
            <w:tcMar>
              <w:top w:type="dxa" w:w="70"/>
              <w:left w:type="dxa" w:w="100"/>
              <w:bottom w:type="dxa" w:w="70"/>
              <w:right w:type="dxa" w:w="100"/>
            </w:tcMar>
          </w:tcPr>
          <w:p>
            <w:r>
              <w:rPr>
                <w:b w:val="false"/>
                <w:bCs w:val="false"/>
                <w:sz w:val="20"/>
                <w:szCs w:val="20"/>
              </w:rPr>
              <w:t xml:space="preserve">0 across all fields</w:t>
            </w:r>
          </w:p>
        </w:tc>
      </w:tr>
      <w:tr>
        <w:tc>
          <w:tcPr>
            <w:tcW w:type="dxa" w:w="5000"/>
            <w:tcMar>
              <w:top w:type="dxa" w:w="70"/>
              <w:left w:type="dxa" w:w="100"/>
              <w:bottom w:type="dxa" w:w="70"/>
              <w:right w:type="dxa" w:w="100"/>
            </w:tcMar>
          </w:tcPr>
          <w:p>
            <w:r>
              <w:rPr>
                <w:b w:val="false"/>
                <w:bCs w:val="false"/>
                <w:sz w:val="20"/>
                <w:szCs w:val="20"/>
              </w:rPr>
              <w:t xml:space="preserve">Duplicate records</w:t>
            </w:r>
          </w:p>
        </w:tc>
        <w:tc>
          <w:tcPr>
            <w:tcW w:type="dxa" w:w="4500"/>
            <w:tcMar>
              <w:top w:type="dxa" w:w="70"/>
              <w:left w:type="dxa" w:w="100"/>
              <w:bottom w:type="dxa" w:w="70"/>
              <w:right w:type="dxa" w:w="100"/>
            </w:tcMar>
          </w:tcPr>
          <w:p>
            <w:r>
              <w:rPr>
                <w:b w:val="false"/>
                <w:bCs w:val="false"/>
                <w:sz w:val="20"/>
                <w:szCs w:val="20"/>
              </w:rPr>
              <w:t xml:space="preserve">0</w:t>
            </w:r>
          </w:p>
        </w:tc>
      </w:tr>
      <w:tr>
        <w:tc>
          <w:tcPr>
            <w:tcW w:type="dxa" w:w="5000"/>
            <w:shd w:fill="E8F7F8" w:color="auto" w:val="clear"/>
            <w:tcMar>
              <w:top w:type="dxa" w:w="70"/>
              <w:left w:type="dxa" w:w="100"/>
              <w:bottom w:type="dxa" w:w="70"/>
              <w:right w:type="dxa" w:w="100"/>
            </w:tcMar>
          </w:tcPr>
          <w:p>
            <w:r>
              <w:rPr>
                <w:b w:val="false"/>
                <w:bCs w:val="false"/>
                <w:sz w:val="20"/>
                <w:szCs w:val="20"/>
              </w:rPr>
              <w:t xml:space="preserve">Overall churn rate</w:t>
            </w:r>
          </w:p>
        </w:tc>
        <w:tc>
          <w:tcPr>
            <w:tcW w:type="dxa" w:w="4500"/>
            <w:shd w:fill="E8F7F8" w:color="auto" w:val="clear"/>
            <w:tcMar>
              <w:top w:type="dxa" w:w="70"/>
              <w:left w:type="dxa" w:w="100"/>
              <w:bottom w:type="dxa" w:w="70"/>
              <w:right w:type="dxa" w:w="100"/>
            </w:tcMar>
          </w:tcPr>
          <w:p>
            <w:r>
              <w:rPr>
                <w:b w:val="false"/>
                <w:bCs w:val="false"/>
                <w:sz w:val="20"/>
                <w:szCs w:val="20"/>
              </w:rPr>
              <w:t xml:space="preserve">20.37% (2,037 of 10,000)</w:t>
            </w:r>
          </w:p>
        </w:tc>
      </w:tr>
      <w:tr>
        <w:tc>
          <w:tcPr>
            <w:tcW w:type="dxa" w:w="5000"/>
            <w:tcMar>
              <w:top w:type="dxa" w:w="70"/>
              <w:left w:type="dxa" w:w="100"/>
              <w:bottom w:type="dxa" w:w="70"/>
              <w:right w:type="dxa" w:w="100"/>
            </w:tcMar>
          </w:tcPr>
          <w:p>
            <w:r>
              <w:rPr>
                <w:b w:val="false"/>
                <w:bCs w:val="false"/>
                <w:sz w:val="20"/>
                <w:szCs w:val="20"/>
              </w:rPr>
              <w:t xml:space="preserve">Retained customers</w:t>
            </w:r>
          </w:p>
        </w:tc>
        <w:tc>
          <w:tcPr>
            <w:tcW w:type="dxa" w:w="4500"/>
            <w:tcMar>
              <w:top w:type="dxa" w:w="70"/>
              <w:left w:type="dxa" w:w="100"/>
              <w:bottom w:type="dxa" w:w="70"/>
              <w:right w:type="dxa" w:w="100"/>
            </w:tcMar>
          </w:tcPr>
          <w:p>
            <w:r>
              <w:rPr>
                <w:b w:val="false"/>
                <w:bCs w:val="false"/>
                <w:sz w:val="20"/>
                <w:szCs w:val="20"/>
              </w:rPr>
              <w:t xml:space="preserve">7,963 (79.63%)</w:t>
            </w:r>
          </w:p>
        </w:tc>
      </w:tr>
      <w:tr>
        <w:tc>
          <w:tcPr>
            <w:tcW w:type="dxa" w:w="5000"/>
            <w:shd w:fill="E8F7F8" w:color="auto" w:val="clear"/>
            <w:tcMar>
              <w:top w:type="dxa" w:w="70"/>
              <w:left w:type="dxa" w:w="100"/>
              <w:bottom w:type="dxa" w:w="70"/>
              <w:right w:type="dxa" w:w="100"/>
            </w:tcMar>
          </w:tcPr>
          <w:p>
            <w:r>
              <w:rPr>
                <w:b w:val="false"/>
                <w:bCs w:val="false"/>
                <w:sz w:val="20"/>
                <w:szCs w:val="20"/>
              </w:rPr>
              <w:t xml:space="preserve">Countries covered</w:t>
            </w:r>
          </w:p>
        </w:tc>
        <w:tc>
          <w:tcPr>
            <w:tcW w:type="dxa" w:w="4500"/>
            <w:shd w:fill="E8F7F8" w:color="auto" w:val="clear"/>
            <w:tcMar>
              <w:top w:type="dxa" w:w="70"/>
              <w:left w:type="dxa" w:w="100"/>
              <w:bottom w:type="dxa" w:w="70"/>
              <w:right w:type="dxa" w:w="100"/>
            </w:tcMar>
          </w:tcPr>
          <w:p>
            <w:r>
              <w:rPr>
                <w:b w:val="false"/>
                <w:bCs w:val="false"/>
                <w:sz w:val="20"/>
                <w:szCs w:val="20"/>
              </w:rPr>
              <w:t xml:space="preserve">France, Germany, Spain</w:t>
            </w:r>
          </w:p>
        </w:tc>
      </w:tr>
    </w:tbl>
    <w:p>
      <w:pPr>
        <w:spacing w:after="160" w:line="300"/>
      </w:pPr>
      <w:r>
        <w:t xml:space="preserve"/>
      </w:r>
    </w:p>
    <w:p>
      <w:pPr>
        <w:pStyle w:val="Heading2"/>
        <w:spacing w:after="120" w:before="240"/>
      </w:pPr>
      <w:r>
        <w:t xml:space="preserve">2.2 Engineered Segments</w:t>
      </w:r>
    </w:p>
    <w:p>
      <w:pPr>
        <w:spacing w:after="160" w:line="300"/>
      </w:pPr>
      <w:r>
        <w:t xml:space="preserve">To move beyond raw fields, several derived segments were constructed:</w:t>
      </w:r>
    </w:p>
    <w:p>
      <w:pPr>
        <w:pStyle w:val="ListParagraph"/>
        <w:numPr>
          <w:ilvl w:val="0"/>
          <w:numId w:val="1"/>
        </w:numPr>
        <w:spacing w:after="80"/>
      </w:pPr>
      <w:r>
        <w:t xml:space="preserve">Engagement Tier — combines active-membership status and product count into Low / Medium / High engagement.</w:t>
      </w:r>
    </w:p>
    <w:p>
      <w:pPr>
        <w:pStyle w:val="ListParagraph"/>
        <w:numPr>
          <w:ilvl w:val="0"/>
          <w:numId w:val="1"/>
        </w:numPr>
        <w:spacing w:after="80"/>
      </w:pPr>
      <w:r>
        <w:t xml:space="preserve">Balance Group &amp; Salary Group — customers split at the sample median balance and median salary.</w:t>
      </w:r>
    </w:p>
    <w:p>
      <w:pPr>
        <w:pStyle w:val="ListParagraph"/>
        <w:numPr>
          <w:ilvl w:val="0"/>
          <w:numId w:val="1"/>
        </w:numPr>
        <w:spacing w:after="80"/>
      </w:pPr>
      <w:r>
        <w:t xml:space="preserve">Salary–Balance Mismatch — flags customers whose salary and balance levels move in opposite directions (e.g., high salary but low balance).</w:t>
      </w:r>
    </w:p>
    <w:p>
      <w:pPr>
        <w:pStyle w:val="ListParagraph"/>
        <w:numPr>
          <w:ilvl w:val="0"/>
          <w:numId w:val="1"/>
        </w:numPr>
        <w:spacing w:after="80"/>
      </w:pPr>
      <w:r>
        <w:t xml:space="preserve">Premium Customer / At-Risk Premium — customers with above-median balance and salary, tenure ≥ 6 years, and 2+ products, further flagged if currently inactive.</w:t>
      </w:r>
    </w:p>
    <w:p>
      <w:pPr>
        <w:pStyle w:val="ListParagraph"/>
        <w:numPr>
          <w:ilvl w:val="0"/>
          <w:numId w:val="1"/>
        </w:numPr>
        <w:spacing w:after="80"/>
      </w:pPr>
      <w:r>
        <w:t xml:space="preserve">Retention Strength Score — a 0–4 composite of active membership, multi-product holding, above-median balance, and tenure ≥ 6 years, bucketed into Weak / Moderate / Strong.</w:t>
      </w:r>
    </w:p>
    <w:p>
      <w:pPr>
        <w:pStyle w:val="Heading1"/>
        <w:spacing w:after="160" w:before="320"/>
      </w:pPr>
      <w:r>
        <w:t xml:space="preserve">3. Exploratory Data Analysis</w:t>
      </w:r>
    </w:p>
    <w:p>
      <w:pPr>
        <w:pStyle w:val="Heading2"/>
        <w:spacing w:after="120" w:before="240"/>
      </w:pPr>
      <w:r>
        <w:t xml:space="preserve">3.1 Engagement vs. Churn</w:t>
      </w:r>
    </w:p>
    <w:p>
      <w:pPr>
        <w:spacing w:after="160" w:line="300"/>
      </w:pPr>
      <w:r>
        <w:t xml:space="preserve">Active members churn at less than half the rate of inactive members, and the gap widens further once product depth is factored 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500"/>
      </w:tblGrid>
      <w:tr>
        <w:trPr>
          <w:tblHeader/>
        </w:trPr>
        <w:tc>
          <w:tcPr>
            <w:tcW w:type="dxa" w:w="4500"/>
            <w:shd w:fill="00ADB5" w:color="auto" w:val="clear"/>
            <w:tcMar>
              <w:top w:type="dxa" w:w="80"/>
              <w:left w:type="dxa" w:w="100"/>
              <w:bottom w:type="dxa" w:w="80"/>
              <w:right w:type="dxa" w:w="100"/>
            </w:tcMar>
          </w:tcPr>
          <w:p>
            <w:r>
              <w:rPr>
                <w:b/>
                <w:bCs/>
                <w:color w:val="FFFFFF"/>
                <w:sz w:val="20"/>
                <w:szCs w:val="20"/>
              </w:rPr>
              <w:t xml:space="preserve">Segment</w:t>
            </w:r>
          </w:p>
        </w:tc>
        <w:tc>
          <w:tcPr>
            <w:tcW w:type="dxa" w:w="2500"/>
            <w:shd w:fill="00ADB5" w:color="auto" w:val="clear"/>
            <w:tcMar>
              <w:top w:type="dxa" w:w="80"/>
              <w:left w:type="dxa" w:w="100"/>
              <w:bottom w:type="dxa" w:w="80"/>
              <w:right w:type="dxa" w:w="100"/>
            </w:tcMar>
          </w:tcPr>
          <w:p>
            <w:r>
              <w:rPr>
                <w:b/>
                <w:bCs/>
                <w:color w:val="FFFFFF"/>
                <w:sz w:val="20"/>
                <w:szCs w:val="20"/>
              </w:rPr>
              <w:t xml:space="preserve">Customers</w:t>
            </w:r>
          </w:p>
        </w:tc>
        <w:tc>
          <w:tcPr>
            <w:tcW w:type="dxa" w:w="2500"/>
            <w:shd w:fill="00ADB5" w:color="auto" w:val="clear"/>
            <w:tcMar>
              <w:top w:type="dxa" w:w="80"/>
              <w:left w:type="dxa" w:w="100"/>
              <w:bottom w:type="dxa" w:w="80"/>
              <w:right w:type="dxa" w:w="100"/>
            </w:tcMar>
          </w:tcPr>
          <w:p>
            <w:r>
              <w:rPr>
                <w:b/>
                <w:bCs/>
                <w:color w:val="FFFFFF"/>
                <w:sz w:val="20"/>
                <w:szCs w:val="20"/>
              </w:rPr>
              <w:t xml:space="preserve">Churn Rate</w:t>
            </w:r>
          </w:p>
        </w:tc>
      </w:tr>
      <w:tr>
        <w:tc>
          <w:tcPr>
            <w:tcW w:type="dxa" w:w="4500"/>
            <w:tcMar>
              <w:top w:type="dxa" w:w="70"/>
              <w:left w:type="dxa" w:w="100"/>
              <w:bottom w:type="dxa" w:w="70"/>
              <w:right w:type="dxa" w:w="100"/>
            </w:tcMar>
          </w:tcPr>
          <w:p>
            <w:r>
              <w:rPr>
                <w:b w:val="false"/>
                <w:bCs w:val="false"/>
                <w:sz w:val="20"/>
                <w:szCs w:val="20"/>
              </w:rPr>
              <w:t xml:space="preserve">Active members</w:t>
            </w:r>
          </w:p>
        </w:tc>
        <w:tc>
          <w:tcPr>
            <w:tcW w:type="dxa" w:w="2500"/>
            <w:tcMar>
              <w:top w:type="dxa" w:w="70"/>
              <w:left w:type="dxa" w:w="100"/>
              <w:bottom w:type="dxa" w:w="70"/>
              <w:right w:type="dxa" w:w="100"/>
            </w:tcMar>
          </w:tcPr>
          <w:p>
            <w:r>
              <w:rPr>
                <w:b w:val="false"/>
                <w:bCs w:val="false"/>
                <w:sz w:val="20"/>
                <w:szCs w:val="20"/>
              </w:rPr>
              <w:t xml:space="preserve">5,151</w:t>
            </w:r>
          </w:p>
        </w:tc>
        <w:tc>
          <w:tcPr>
            <w:tcW w:type="dxa" w:w="2500"/>
            <w:tcMar>
              <w:top w:type="dxa" w:w="70"/>
              <w:left w:type="dxa" w:w="100"/>
              <w:bottom w:type="dxa" w:w="70"/>
              <w:right w:type="dxa" w:w="100"/>
            </w:tcMar>
          </w:tcPr>
          <w:p>
            <w:r>
              <w:rPr>
                <w:b w:val="false"/>
                <w:bCs w:val="false"/>
                <w:sz w:val="20"/>
                <w:szCs w:val="20"/>
              </w:rPr>
              <w:t xml:space="preserve">14.27%</w:t>
            </w:r>
          </w:p>
        </w:tc>
      </w:tr>
      <w:tr>
        <w:tc>
          <w:tcPr>
            <w:tcW w:type="dxa" w:w="4500"/>
            <w:shd w:fill="E8F7F8" w:color="auto" w:val="clear"/>
            <w:tcMar>
              <w:top w:type="dxa" w:w="70"/>
              <w:left w:type="dxa" w:w="100"/>
              <w:bottom w:type="dxa" w:w="70"/>
              <w:right w:type="dxa" w:w="100"/>
            </w:tcMar>
          </w:tcPr>
          <w:p>
            <w:r>
              <w:rPr>
                <w:b w:val="false"/>
                <w:bCs w:val="false"/>
                <w:sz w:val="20"/>
                <w:szCs w:val="20"/>
              </w:rPr>
              <w:t xml:space="preserve">Inactive members</w:t>
            </w:r>
          </w:p>
        </w:tc>
        <w:tc>
          <w:tcPr>
            <w:tcW w:type="dxa" w:w="2500"/>
            <w:shd w:fill="E8F7F8" w:color="auto" w:val="clear"/>
            <w:tcMar>
              <w:top w:type="dxa" w:w="70"/>
              <w:left w:type="dxa" w:w="100"/>
              <w:bottom w:type="dxa" w:w="70"/>
              <w:right w:type="dxa" w:w="100"/>
            </w:tcMar>
          </w:tcPr>
          <w:p>
            <w:r>
              <w:rPr>
                <w:b w:val="false"/>
                <w:bCs w:val="false"/>
                <w:sz w:val="20"/>
                <w:szCs w:val="20"/>
              </w:rPr>
              <w:t xml:space="preserve">4,849</w:t>
            </w:r>
          </w:p>
        </w:tc>
        <w:tc>
          <w:tcPr>
            <w:tcW w:type="dxa" w:w="2500"/>
            <w:shd w:fill="E8F7F8" w:color="auto" w:val="clear"/>
            <w:tcMar>
              <w:top w:type="dxa" w:w="70"/>
              <w:left w:type="dxa" w:w="100"/>
              <w:bottom w:type="dxa" w:w="70"/>
              <w:right w:type="dxa" w:w="100"/>
            </w:tcMar>
          </w:tcPr>
          <w:p>
            <w:r>
              <w:rPr>
                <w:b w:val="false"/>
                <w:bCs w:val="false"/>
                <w:sz w:val="20"/>
                <w:szCs w:val="20"/>
              </w:rPr>
              <w:t xml:space="preserve">26.85%</w:t>
            </w:r>
          </w:p>
        </w:tc>
      </w:tr>
    </w:tbl>
    <w:p>
      <w:pPr>
        <w:spacing w:after="160" w:line="300"/>
      </w:pPr>
      <w:r>
        <w:t xml:space="preserve"/>
      </w:r>
    </w:p>
    <w:p>
      <w:pPr>
        <w:spacing w:after="160" w:line="300"/>
      </w:pPr>
      <w:r>
        <w:t xml:space="preserve">Combining activity status with product count into three engagement tiers shows a clear, near-linear relationship between engagement and churn: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2200"/>
        <w:gridCol w:w="2000"/>
      </w:tblGrid>
      <w:tr>
        <w:trPr>
          <w:tblHeader/>
        </w:trPr>
        <w:tc>
          <w:tcPr>
            <w:tcW w:type="dxa" w:w="3600"/>
            <w:shd w:fill="00ADB5" w:color="auto" w:val="clear"/>
            <w:tcMar>
              <w:top w:type="dxa" w:w="80"/>
              <w:left w:type="dxa" w:w="100"/>
              <w:bottom w:type="dxa" w:w="80"/>
              <w:right w:type="dxa" w:w="100"/>
            </w:tcMar>
          </w:tcPr>
          <w:p>
            <w:r>
              <w:rPr>
                <w:b/>
                <w:bCs/>
                <w:color w:val="FFFFFF"/>
                <w:sz w:val="20"/>
                <w:szCs w:val="20"/>
              </w:rPr>
              <w:t xml:space="preserve">Engagement Tier</w:t>
            </w:r>
          </w:p>
        </w:tc>
        <w:tc>
          <w:tcPr>
            <w:tcW w:type="dxa" w:w="2200"/>
            <w:shd w:fill="00ADB5" w:color="auto" w:val="clear"/>
            <w:tcMar>
              <w:top w:type="dxa" w:w="80"/>
              <w:left w:type="dxa" w:w="100"/>
              <w:bottom w:type="dxa" w:w="80"/>
              <w:right w:type="dxa" w:w="100"/>
            </w:tcMar>
          </w:tcPr>
          <w:p>
            <w:r>
              <w:rPr>
                <w:b/>
                <w:bCs/>
                <w:color w:val="FFFFFF"/>
                <w:sz w:val="20"/>
                <w:szCs w:val="20"/>
              </w:rPr>
              <w:t xml:space="preserve">Customers</w:t>
            </w:r>
          </w:p>
        </w:tc>
        <w:tc>
          <w:tcPr>
            <w:tcW w:type="dxa" w:w="2200"/>
            <w:shd w:fill="00ADB5" w:color="auto" w:val="clear"/>
            <w:tcMar>
              <w:top w:type="dxa" w:w="80"/>
              <w:left w:type="dxa" w:w="100"/>
              <w:bottom w:type="dxa" w:w="80"/>
              <w:right w:type="dxa" w:w="100"/>
            </w:tcMar>
          </w:tcPr>
          <w:p>
            <w:r>
              <w:rPr>
                <w:b/>
                <w:bCs/>
                <w:color w:val="FFFFFF"/>
                <w:sz w:val="20"/>
                <w:szCs w:val="20"/>
              </w:rPr>
              <w:t xml:space="preserve">Churned</w:t>
            </w:r>
          </w:p>
        </w:tc>
        <w:tc>
          <w:tcPr>
            <w:tcW w:type="dxa" w:w="2000"/>
            <w:shd w:fill="00ADB5" w:color="auto" w:val="clear"/>
            <w:tcMar>
              <w:top w:type="dxa" w:w="80"/>
              <w:left w:type="dxa" w:w="100"/>
              <w:bottom w:type="dxa" w:w="80"/>
              <w:right w:type="dxa" w:w="100"/>
            </w:tcMar>
          </w:tcPr>
          <w:p>
            <w:r>
              <w:rPr>
                <w:b/>
                <w:bCs/>
                <w:color w:val="FFFFFF"/>
                <w:sz w:val="20"/>
                <w:szCs w:val="20"/>
              </w:rPr>
              <w:t xml:space="preserve">Churn Rate</w:t>
            </w:r>
          </w:p>
        </w:tc>
      </w:tr>
      <w:tr>
        <w:tc>
          <w:tcPr>
            <w:tcW w:type="dxa" w:w="3600"/>
            <w:tcMar>
              <w:top w:type="dxa" w:w="70"/>
              <w:left w:type="dxa" w:w="100"/>
              <w:bottom w:type="dxa" w:w="70"/>
              <w:right w:type="dxa" w:w="100"/>
            </w:tcMar>
          </w:tcPr>
          <w:p>
            <w:r>
              <w:rPr>
                <w:b w:val="false"/>
                <w:bCs w:val="false"/>
                <w:sz w:val="20"/>
                <w:szCs w:val="20"/>
              </w:rPr>
              <w:t xml:space="preserve">Low Engagement</w:t>
            </w:r>
          </w:p>
        </w:tc>
        <w:tc>
          <w:tcPr>
            <w:tcW w:type="dxa" w:w="2200"/>
            <w:tcMar>
              <w:top w:type="dxa" w:w="70"/>
              <w:left w:type="dxa" w:w="100"/>
              <w:bottom w:type="dxa" w:w="70"/>
              <w:right w:type="dxa" w:w="100"/>
            </w:tcMar>
          </w:tcPr>
          <w:p>
            <w:r>
              <w:rPr>
                <w:b w:val="false"/>
                <w:bCs w:val="false"/>
                <w:sz w:val="20"/>
                <w:szCs w:val="20"/>
              </w:rPr>
              <w:t xml:space="preserve">2,521</w:t>
            </w:r>
          </w:p>
        </w:tc>
        <w:tc>
          <w:tcPr>
            <w:tcW w:type="dxa" w:w="2200"/>
            <w:tcMar>
              <w:top w:type="dxa" w:w="70"/>
              <w:left w:type="dxa" w:w="100"/>
              <w:bottom w:type="dxa" w:w="70"/>
              <w:right w:type="dxa" w:w="100"/>
            </w:tcMar>
          </w:tcPr>
          <w:p>
            <w:r>
              <w:rPr>
                <w:b w:val="false"/>
                <w:bCs w:val="false"/>
                <w:sz w:val="20"/>
                <w:szCs w:val="20"/>
              </w:rPr>
              <w:t xml:space="preserve">924</w:t>
            </w:r>
          </w:p>
        </w:tc>
        <w:tc>
          <w:tcPr>
            <w:tcW w:type="dxa" w:w="2000"/>
            <w:tcMar>
              <w:top w:type="dxa" w:w="70"/>
              <w:left w:type="dxa" w:w="100"/>
              <w:bottom w:type="dxa" w:w="70"/>
              <w:right w:type="dxa" w:w="100"/>
            </w:tcMar>
          </w:tcPr>
          <w:p>
            <w:r>
              <w:rPr>
                <w:b w:val="false"/>
                <w:bCs w:val="false"/>
                <w:sz w:val="20"/>
                <w:szCs w:val="20"/>
              </w:rPr>
              <w:t xml:space="preserve">36.65%</w:t>
            </w:r>
          </w:p>
        </w:tc>
      </w:tr>
      <w:tr>
        <w:tc>
          <w:tcPr>
            <w:tcW w:type="dxa" w:w="3600"/>
            <w:shd w:fill="E8F7F8" w:color="auto" w:val="clear"/>
            <w:tcMar>
              <w:top w:type="dxa" w:w="70"/>
              <w:left w:type="dxa" w:w="100"/>
              <w:bottom w:type="dxa" w:w="70"/>
              <w:right w:type="dxa" w:w="100"/>
            </w:tcMar>
          </w:tcPr>
          <w:p>
            <w:r>
              <w:rPr>
                <w:b w:val="false"/>
                <w:bCs w:val="false"/>
                <w:sz w:val="20"/>
                <w:szCs w:val="20"/>
              </w:rPr>
              <w:t xml:space="preserve">Medium Engagement</w:t>
            </w:r>
          </w:p>
        </w:tc>
        <w:tc>
          <w:tcPr>
            <w:tcW w:type="dxa" w:w="2200"/>
            <w:shd w:fill="E8F7F8" w:color="auto" w:val="clear"/>
            <w:tcMar>
              <w:top w:type="dxa" w:w="70"/>
              <w:left w:type="dxa" w:w="100"/>
              <w:bottom w:type="dxa" w:w="70"/>
              <w:right w:type="dxa" w:w="100"/>
            </w:tcMar>
          </w:tcPr>
          <w:p>
            <w:r>
              <w:rPr>
                <w:b w:val="false"/>
                <w:bCs w:val="false"/>
                <w:sz w:val="20"/>
                <w:szCs w:val="20"/>
              </w:rPr>
              <w:t xml:space="preserve">4,891</w:t>
            </w:r>
          </w:p>
        </w:tc>
        <w:tc>
          <w:tcPr>
            <w:tcW w:type="dxa" w:w="2200"/>
            <w:shd w:fill="E8F7F8" w:color="auto" w:val="clear"/>
            <w:tcMar>
              <w:top w:type="dxa" w:w="70"/>
              <w:left w:type="dxa" w:w="100"/>
              <w:bottom w:type="dxa" w:w="70"/>
              <w:right w:type="dxa" w:w="100"/>
            </w:tcMar>
          </w:tcPr>
          <w:p>
            <w:r>
              <w:rPr>
                <w:b w:val="false"/>
                <w:bCs w:val="false"/>
                <w:sz w:val="20"/>
                <w:szCs w:val="20"/>
              </w:rPr>
              <w:t xml:space="preserve">863</w:t>
            </w:r>
          </w:p>
        </w:tc>
        <w:tc>
          <w:tcPr>
            <w:tcW w:type="dxa" w:w="2000"/>
            <w:shd w:fill="E8F7F8" w:color="auto" w:val="clear"/>
            <w:tcMar>
              <w:top w:type="dxa" w:w="70"/>
              <w:left w:type="dxa" w:w="100"/>
              <w:bottom w:type="dxa" w:w="70"/>
              <w:right w:type="dxa" w:w="100"/>
            </w:tcMar>
          </w:tcPr>
          <w:p>
            <w:r>
              <w:rPr>
                <w:b w:val="false"/>
                <w:bCs w:val="false"/>
                <w:sz w:val="20"/>
                <w:szCs w:val="20"/>
              </w:rPr>
              <w:t xml:space="preserve">17.64%</w:t>
            </w:r>
          </w:p>
        </w:tc>
      </w:tr>
      <w:tr>
        <w:tc>
          <w:tcPr>
            <w:tcW w:type="dxa" w:w="3600"/>
            <w:tcMar>
              <w:top w:type="dxa" w:w="70"/>
              <w:left w:type="dxa" w:w="100"/>
              <w:bottom w:type="dxa" w:w="70"/>
              <w:right w:type="dxa" w:w="100"/>
            </w:tcMar>
          </w:tcPr>
          <w:p>
            <w:r>
              <w:rPr>
                <w:b w:val="false"/>
                <w:bCs w:val="false"/>
                <w:sz w:val="20"/>
                <w:szCs w:val="20"/>
              </w:rPr>
              <w:t xml:space="preserve">High Engagement</w:t>
            </w:r>
          </w:p>
        </w:tc>
        <w:tc>
          <w:tcPr>
            <w:tcW w:type="dxa" w:w="2200"/>
            <w:tcMar>
              <w:top w:type="dxa" w:w="70"/>
              <w:left w:type="dxa" w:w="100"/>
              <w:bottom w:type="dxa" w:w="70"/>
              <w:right w:type="dxa" w:w="100"/>
            </w:tcMar>
          </w:tcPr>
          <w:p>
            <w:r>
              <w:rPr>
                <w:b w:val="false"/>
                <w:bCs w:val="false"/>
                <w:sz w:val="20"/>
                <w:szCs w:val="20"/>
              </w:rPr>
              <w:t xml:space="preserve">2,588</w:t>
            </w:r>
          </w:p>
        </w:tc>
        <w:tc>
          <w:tcPr>
            <w:tcW w:type="dxa" w:w="2200"/>
            <w:tcMar>
              <w:top w:type="dxa" w:w="70"/>
              <w:left w:type="dxa" w:w="100"/>
              <w:bottom w:type="dxa" w:w="70"/>
              <w:right w:type="dxa" w:w="100"/>
            </w:tcMar>
          </w:tcPr>
          <w:p>
            <w:r>
              <w:rPr>
                <w:b w:val="false"/>
                <w:bCs w:val="false"/>
                <w:sz w:val="20"/>
                <w:szCs w:val="20"/>
              </w:rPr>
              <w:t xml:space="preserve">250</w:t>
            </w:r>
          </w:p>
        </w:tc>
        <w:tc>
          <w:tcPr>
            <w:tcW w:type="dxa" w:w="2000"/>
            <w:tcMar>
              <w:top w:type="dxa" w:w="70"/>
              <w:left w:type="dxa" w:w="100"/>
              <w:bottom w:type="dxa" w:w="70"/>
              <w:right w:type="dxa" w:w="100"/>
            </w:tcMar>
          </w:tcPr>
          <w:p>
            <w:r>
              <w:rPr>
                <w:b w:val="false"/>
                <w:bCs w:val="false"/>
                <w:sz w:val="20"/>
                <w:szCs w:val="20"/>
              </w:rPr>
              <w:t xml:space="preserve">9.66%</w:t>
            </w:r>
          </w:p>
        </w:tc>
      </w:tr>
    </w:tbl>
    <w:p>
      <w:pPr>
        <w:spacing w:after="160" w:line="300"/>
      </w:pPr>
      <w:r>
        <w:t xml:space="preserve"/>
      </w:r>
    </w:p>
    <w:p>
      <w:pPr>
        <w:pStyle w:val="ListParagraph"/>
        <w:numPr>
          <w:ilvl w:val="0"/>
          <w:numId w:val="1"/>
        </w:numPr>
        <w:spacing w:after="80"/>
      </w:pPr>
      <w:r>
        <w:t xml:space="preserve">Low → Medium engagement reduces churn by 19.0 percentage points — the single largest lever in the dataset.</w:t>
      </w:r>
    </w:p>
    <w:p>
      <w:pPr>
        <w:pStyle w:val="ListParagraph"/>
        <w:numPr>
          <w:ilvl w:val="0"/>
          <w:numId w:val="1"/>
        </w:numPr>
        <w:spacing w:after="80"/>
      </w:pPr>
      <w:r>
        <w:t xml:space="preserve">Medium → High engagement reduces churn by a further 8.0 percentage points.</w:t>
      </w:r>
    </w:p>
    <w:p>
      <w:pPr>
        <w:pStyle w:val="ListParagraph"/>
        <w:numPr>
          <w:ilvl w:val="0"/>
          <w:numId w:val="1"/>
        </w:numPr>
        <w:spacing w:after="80"/>
      </w:pPr>
      <w:r>
        <w:t xml:space="preserve">Low → High engagement represents a 27.0-point swing overall.</w:t>
      </w:r>
    </w:p>
    <w:p>
      <w:pPr>
        <w:spacing w:after="160" w:line="300"/>
      </w:pPr>
      <w:r>
        <w:t xml:space="preserve">This indicates a clear retention threshold: moving a disengaged customer to even moderate engagement captures most of the available benefit.</w:t>
      </w:r>
    </w:p>
    <w:p>
      <w:pPr>
        <w:pStyle w:val="Heading2"/>
        <w:spacing w:after="120" w:before="240"/>
      </w:pPr>
      <w:r>
        <w:t xml:space="preserve">3.2 Product Utilization</w:t>
      </w:r>
    </w:p>
    <w:p>
      <w:pPr>
        <w:spacing w:after="160" w:line="300"/>
      </w:pPr>
      <w:r>
        <w:t xml:space="preserve">Product count shows a non-linear, and somewhat counter-intuitive, relationship with churn: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2200"/>
        <w:gridCol w:w="2000"/>
      </w:tblGrid>
      <w:tr>
        <w:trPr>
          <w:tblHeader/>
        </w:trPr>
        <w:tc>
          <w:tcPr>
            <w:tcW w:type="dxa" w:w="3600"/>
            <w:shd w:fill="00ADB5" w:color="auto" w:val="clear"/>
            <w:tcMar>
              <w:top w:type="dxa" w:w="80"/>
              <w:left w:type="dxa" w:w="100"/>
              <w:bottom w:type="dxa" w:w="80"/>
              <w:right w:type="dxa" w:w="100"/>
            </w:tcMar>
          </w:tcPr>
          <w:p>
            <w:r>
              <w:rPr>
                <w:b/>
                <w:bCs/>
                <w:color w:val="FFFFFF"/>
                <w:sz w:val="20"/>
                <w:szCs w:val="20"/>
              </w:rPr>
              <w:t xml:space="preserve">Number of Products</w:t>
            </w:r>
          </w:p>
        </w:tc>
        <w:tc>
          <w:tcPr>
            <w:tcW w:type="dxa" w:w="2200"/>
            <w:shd w:fill="00ADB5" w:color="auto" w:val="clear"/>
            <w:tcMar>
              <w:top w:type="dxa" w:w="80"/>
              <w:left w:type="dxa" w:w="100"/>
              <w:bottom w:type="dxa" w:w="80"/>
              <w:right w:type="dxa" w:w="100"/>
            </w:tcMar>
          </w:tcPr>
          <w:p>
            <w:r>
              <w:rPr>
                <w:b/>
                <w:bCs/>
                <w:color w:val="FFFFFF"/>
                <w:sz w:val="20"/>
                <w:szCs w:val="20"/>
              </w:rPr>
              <w:t xml:space="preserve">Customers</w:t>
            </w:r>
          </w:p>
        </w:tc>
        <w:tc>
          <w:tcPr>
            <w:tcW w:type="dxa" w:w="2200"/>
            <w:shd w:fill="00ADB5" w:color="auto" w:val="clear"/>
            <w:tcMar>
              <w:top w:type="dxa" w:w="80"/>
              <w:left w:type="dxa" w:w="100"/>
              <w:bottom w:type="dxa" w:w="80"/>
              <w:right w:type="dxa" w:w="100"/>
            </w:tcMar>
          </w:tcPr>
          <w:p>
            <w:r>
              <w:rPr>
                <w:b/>
                <w:bCs/>
                <w:color w:val="FFFFFF"/>
                <w:sz w:val="20"/>
                <w:szCs w:val="20"/>
              </w:rPr>
              <w:t xml:space="preserve">Churned</w:t>
            </w:r>
          </w:p>
        </w:tc>
        <w:tc>
          <w:tcPr>
            <w:tcW w:type="dxa" w:w="2000"/>
            <w:shd w:fill="00ADB5" w:color="auto" w:val="clear"/>
            <w:tcMar>
              <w:top w:type="dxa" w:w="80"/>
              <w:left w:type="dxa" w:w="100"/>
              <w:bottom w:type="dxa" w:w="80"/>
              <w:right w:type="dxa" w:w="100"/>
            </w:tcMar>
          </w:tcPr>
          <w:p>
            <w:r>
              <w:rPr>
                <w:b/>
                <w:bCs/>
                <w:color w:val="FFFFFF"/>
                <w:sz w:val="20"/>
                <w:szCs w:val="20"/>
              </w:rPr>
              <w:t xml:space="preserve">Churn Rate</w:t>
            </w:r>
          </w:p>
        </w:tc>
      </w:tr>
      <w:tr>
        <w:tc>
          <w:tcPr>
            <w:tcW w:type="dxa" w:w="3600"/>
            <w:tcMar>
              <w:top w:type="dxa" w:w="70"/>
              <w:left w:type="dxa" w:w="100"/>
              <w:bottom w:type="dxa" w:w="70"/>
              <w:right w:type="dxa" w:w="100"/>
            </w:tcMar>
          </w:tcPr>
          <w:p>
            <w:r>
              <w:rPr>
                <w:b w:val="false"/>
                <w:bCs w:val="false"/>
                <w:sz w:val="20"/>
                <w:szCs w:val="20"/>
              </w:rPr>
              <w:t xml:space="preserve">1</w:t>
            </w:r>
          </w:p>
        </w:tc>
        <w:tc>
          <w:tcPr>
            <w:tcW w:type="dxa" w:w="2200"/>
            <w:tcMar>
              <w:top w:type="dxa" w:w="70"/>
              <w:left w:type="dxa" w:w="100"/>
              <w:bottom w:type="dxa" w:w="70"/>
              <w:right w:type="dxa" w:w="100"/>
            </w:tcMar>
          </w:tcPr>
          <w:p>
            <w:r>
              <w:rPr>
                <w:b w:val="false"/>
                <w:bCs w:val="false"/>
                <w:sz w:val="20"/>
                <w:szCs w:val="20"/>
              </w:rPr>
              <w:t xml:space="preserve">5,084</w:t>
            </w:r>
          </w:p>
        </w:tc>
        <w:tc>
          <w:tcPr>
            <w:tcW w:type="dxa" w:w="2200"/>
            <w:tcMar>
              <w:top w:type="dxa" w:w="70"/>
              <w:left w:type="dxa" w:w="100"/>
              <w:bottom w:type="dxa" w:w="70"/>
              <w:right w:type="dxa" w:w="100"/>
            </w:tcMar>
          </w:tcPr>
          <w:p>
            <w:r>
              <w:rPr>
                <w:b w:val="false"/>
                <w:bCs w:val="false"/>
                <w:sz w:val="20"/>
                <w:szCs w:val="20"/>
              </w:rPr>
              <w:t xml:space="preserve">1,409</w:t>
            </w:r>
          </w:p>
        </w:tc>
        <w:tc>
          <w:tcPr>
            <w:tcW w:type="dxa" w:w="2000"/>
            <w:tcMar>
              <w:top w:type="dxa" w:w="70"/>
              <w:left w:type="dxa" w:w="100"/>
              <w:bottom w:type="dxa" w:w="70"/>
              <w:right w:type="dxa" w:w="100"/>
            </w:tcMar>
          </w:tcPr>
          <w:p>
            <w:r>
              <w:rPr>
                <w:b w:val="false"/>
                <w:bCs w:val="false"/>
                <w:sz w:val="20"/>
                <w:szCs w:val="20"/>
              </w:rPr>
              <w:t xml:space="preserve">27.71%</w:t>
            </w:r>
          </w:p>
        </w:tc>
      </w:tr>
      <w:tr>
        <w:tc>
          <w:tcPr>
            <w:tcW w:type="dxa" w:w="3600"/>
            <w:shd w:fill="E8F7F8" w:color="auto" w:val="clear"/>
            <w:tcMar>
              <w:top w:type="dxa" w:w="70"/>
              <w:left w:type="dxa" w:w="100"/>
              <w:bottom w:type="dxa" w:w="70"/>
              <w:right w:type="dxa" w:w="100"/>
            </w:tcMar>
          </w:tcPr>
          <w:p>
            <w:r>
              <w:rPr>
                <w:b w:val="false"/>
                <w:bCs w:val="false"/>
                <w:sz w:val="20"/>
                <w:szCs w:val="20"/>
              </w:rPr>
              <w:t xml:space="preserve">2</w:t>
            </w:r>
          </w:p>
        </w:tc>
        <w:tc>
          <w:tcPr>
            <w:tcW w:type="dxa" w:w="2200"/>
            <w:shd w:fill="E8F7F8" w:color="auto" w:val="clear"/>
            <w:tcMar>
              <w:top w:type="dxa" w:w="70"/>
              <w:left w:type="dxa" w:w="100"/>
              <w:bottom w:type="dxa" w:w="70"/>
              <w:right w:type="dxa" w:w="100"/>
            </w:tcMar>
          </w:tcPr>
          <w:p>
            <w:r>
              <w:rPr>
                <w:b w:val="false"/>
                <w:bCs w:val="false"/>
                <w:sz w:val="20"/>
                <w:szCs w:val="20"/>
              </w:rPr>
              <w:t xml:space="preserve">4,590</w:t>
            </w:r>
          </w:p>
        </w:tc>
        <w:tc>
          <w:tcPr>
            <w:tcW w:type="dxa" w:w="2200"/>
            <w:shd w:fill="E8F7F8" w:color="auto" w:val="clear"/>
            <w:tcMar>
              <w:top w:type="dxa" w:w="70"/>
              <w:left w:type="dxa" w:w="100"/>
              <w:bottom w:type="dxa" w:w="70"/>
              <w:right w:type="dxa" w:w="100"/>
            </w:tcMar>
          </w:tcPr>
          <w:p>
            <w:r>
              <w:rPr>
                <w:b w:val="false"/>
                <w:bCs w:val="false"/>
                <w:sz w:val="20"/>
                <w:szCs w:val="20"/>
              </w:rPr>
              <w:t xml:space="preserve">348</w:t>
            </w:r>
          </w:p>
        </w:tc>
        <w:tc>
          <w:tcPr>
            <w:tcW w:type="dxa" w:w="2000"/>
            <w:shd w:fill="E8F7F8" w:color="auto" w:val="clear"/>
            <w:tcMar>
              <w:top w:type="dxa" w:w="70"/>
              <w:left w:type="dxa" w:w="100"/>
              <w:bottom w:type="dxa" w:w="70"/>
              <w:right w:type="dxa" w:w="100"/>
            </w:tcMar>
          </w:tcPr>
          <w:p>
            <w:r>
              <w:rPr>
                <w:b w:val="false"/>
                <w:bCs w:val="false"/>
                <w:sz w:val="20"/>
                <w:szCs w:val="20"/>
              </w:rPr>
              <w:t xml:space="preserve">7.58%</w:t>
            </w:r>
          </w:p>
        </w:tc>
      </w:tr>
      <w:tr>
        <w:tc>
          <w:tcPr>
            <w:tcW w:type="dxa" w:w="3600"/>
            <w:tcMar>
              <w:top w:type="dxa" w:w="70"/>
              <w:left w:type="dxa" w:w="100"/>
              <w:bottom w:type="dxa" w:w="70"/>
              <w:right w:type="dxa" w:w="100"/>
            </w:tcMar>
          </w:tcPr>
          <w:p>
            <w:r>
              <w:rPr>
                <w:b w:val="false"/>
                <w:bCs w:val="false"/>
                <w:sz w:val="20"/>
                <w:szCs w:val="20"/>
              </w:rPr>
              <w:t xml:space="preserve">3</w:t>
            </w:r>
          </w:p>
        </w:tc>
        <w:tc>
          <w:tcPr>
            <w:tcW w:type="dxa" w:w="2200"/>
            <w:tcMar>
              <w:top w:type="dxa" w:w="70"/>
              <w:left w:type="dxa" w:w="100"/>
              <w:bottom w:type="dxa" w:w="70"/>
              <w:right w:type="dxa" w:w="100"/>
            </w:tcMar>
          </w:tcPr>
          <w:p>
            <w:r>
              <w:rPr>
                <w:b w:val="false"/>
                <w:bCs w:val="false"/>
                <w:sz w:val="20"/>
                <w:szCs w:val="20"/>
              </w:rPr>
              <w:t xml:space="preserve">266</w:t>
            </w:r>
          </w:p>
        </w:tc>
        <w:tc>
          <w:tcPr>
            <w:tcW w:type="dxa" w:w="2200"/>
            <w:tcMar>
              <w:top w:type="dxa" w:w="70"/>
              <w:left w:type="dxa" w:w="100"/>
              <w:bottom w:type="dxa" w:w="70"/>
              <w:right w:type="dxa" w:w="100"/>
            </w:tcMar>
          </w:tcPr>
          <w:p>
            <w:r>
              <w:rPr>
                <w:b w:val="false"/>
                <w:bCs w:val="false"/>
                <w:sz w:val="20"/>
                <w:szCs w:val="20"/>
              </w:rPr>
              <w:t xml:space="preserve">220</w:t>
            </w:r>
          </w:p>
        </w:tc>
        <w:tc>
          <w:tcPr>
            <w:tcW w:type="dxa" w:w="2000"/>
            <w:tcMar>
              <w:top w:type="dxa" w:w="70"/>
              <w:left w:type="dxa" w:w="100"/>
              <w:bottom w:type="dxa" w:w="70"/>
              <w:right w:type="dxa" w:w="100"/>
            </w:tcMar>
          </w:tcPr>
          <w:p>
            <w:r>
              <w:rPr>
                <w:b w:val="false"/>
                <w:bCs w:val="false"/>
                <w:sz w:val="20"/>
                <w:szCs w:val="20"/>
              </w:rPr>
              <w:t xml:space="preserve">82.71%</w:t>
            </w:r>
          </w:p>
        </w:tc>
      </w:tr>
      <w:tr>
        <w:tc>
          <w:tcPr>
            <w:tcW w:type="dxa" w:w="3600"/>
            <w:shd w:fill="E8F7F8" w:color="auto" w:val="clear"/>
            <w:tcMar>
              <w:top w:type="dxa" w:w="70"/>
              <w:left w:type="dxa" w:w="100"/>
              <w:bottom w:type="dxa" w:w="70"/>
              <w:right w:type="dxa" w:w="100"/>
            </w:tcMar>
          </w:tcPr>
          <w:p>
            <w:r>
              <w:rPr>
                <w:b w:val="false"/>
                <w:bCs w:val="false"/>
                <w:sz w:val="20"/>
                <w:szCs w:val="20"/>
              </w:rPr>
              <w:t xml:space="preserve">4</w:t>
            </w:r>
          </w:p>
        </w:tc>
        <w:tc>
          <w:tcPr>
            <w:tcW w:type="dxa" w:w="2200"/>
            <w:shd w:fill="E8F7F8" w:color="auto" w:val="clear"/>
            <w:tcMar>
              <w:top w:type="dxa" w:w="70"/>
              <w:left w:type="dxa" w:w="100"/>
              <w:bottom w:type="dxa" w:w="70"/>
              <w:right w:type="dxa" w:w="100"/>
            </w:tcMar>
          </w:tcPr>
          <w:p>
            <w:r>
              <w:rPr>
                <w:b w:val="false"/>
                <w:bCs w:val="false"/>
                <w:sz w:val="20"/>
                <w:szCs w:val="20"/>
              </w:rPr>
              <w:t xml:space="preserve">60</w:t>
            </w:r>
          </w:p>
        </w:tc>
        <w:tc>
          <w:tcPr>
            <w:tcW w:type="dxa" w:w="2200"/>
            <w:shd w:fill="E8F7F8" w:color="auto" w:val="clear"/>
            <w:tcMar>
              <w:top w:type="dxa" w:w="70"/>
              <w:left w:type="dxa" w:w="100"/>
              <w:bottom w:type="dxa" w:w="70"/>
              <w:right w:type="dxa" w:w="100"/>
            </w:tcMar>
          </w:tcPr>
          <w:p>
            <w:r>
              <w:rPr>
                <w:b w:val="false"/>
                <w:bCs w:val="false"/>
                <w:sz w:val="20"/>
                <w:szCs w:val="20"/>
              </w:rPr>
              <w:t xml:space="preserve">60</w:t>
            </w:r>
          </w:p>
        </w:tc>
        <w:tc>
          <w:tcPr>
            <w:tcW w:type="dxa" w:w="2000"/>
            <w:shd w:fill="E8F7F8" w:color="auto" w:val="clear"/>
            <w:tcMar>
              <w:top w:type="dxa" w:w="70"/>
              <w:left w:type="dxa" w:w="100"/>
              <w:bottom w:type="dxa" w:w="70"/>
              <w:right w:type="dxa" w:w="100"/>
            </w:tcMar>
          </w:tcPr>
          <w:p>
            <w:r>
              <w:rPr>
                <w:b w:val="false"/>
                <w:bCs w:val="false"/>
                <w:sz w:val="20"/>
                <w:szCs w:val="20"/>
              </w:rPr>
              <w:t xml:space="preserve">100.00%</w:t>
            </w:r>
          </w:p>
        </w:tc>
      </w:tr>
    </w:tbl>
    <w:p>
      <w:pPr>
        <w:spacing w:after="160" w:line="300"/>
      </w:pPr>
      <w:r>
        <w:t xml:space="preserve"/>
      </w:r>
    </w:p>
    <w:p>
      <w:pPr>
        <w:spacing w:after="160" w:line="300"/>
      </w:pPr>
      <w:r>
        <w:t xml:space="preserve">Two products is the clear retention sweet spot (7.58% churn — the lowest of any segment). Single-product customers churn nearly 4x more often. Customers with 3 or 4 products churn at extreme rates (83–100%), but these groups are small (266 and 60 customers respectively) and the churn rate is so uniform that it likely reflects a specific process — such as forced account closures, failed cross-sell follow-through, or a data-collection artifact tied to a particular product bundle — rather than a general "more products = worse" effect. This segment merits a separate root-cause investigation before any policy is built on it. Overall, single-product retention is 72.29% versus 87.23% for multi-product customers (2+).</w:t>
      </w:r>
    </w:p>
    <w:p>
      <w:pPr>
        <w:pStyle w:val="Heading2"/>
        <w:spacing w:after="120" w:before="240"/>
      </w:pPr>
      <w:r>
        <w:t xml:space="preserve">3.3 Balance × Activity Cross-Analysis</w:t>
      </w:r>
    </w:p>
    <w:p>
      <w:pPr>
        <w:spacing w:after="160" w:line="300"/>
      </w:pPr>
      <w:r>
        <w:t xml:space="preserve">Balance alone is a weaker signal than balance combined with activity status:</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700"/>
        <w:gridCol w:w="1600"/>
        <w:gridCol w:w="1900"/>
        <w:gridCol w:w="1700"/>
      </w:tblGrid>
      <w:tr>
        <w:trPr>
          <w:tblHeader/>
        </w:trPr>
        <w:tc>
          <w:tcPr>
            <w:tcW w:type="dxa" w:w="2600"/>
            <w:shd w:fill="00ADB5" w:color="auto" w:val="clear"/>
            <w:tcMar>
              <w:top w:type="dxa" w:w="80"/>
              <w:left w:type="dxa" w:w="100"/>
              <w:bottom w:type="dxa" w:w="80"/>
              <w:right w:type="dxa" w:w="100"/>
            </w:tcMar>
          </w:tcPr>
          <w:p>
            <w:r>
              <w:rPr>
                <w:b/>
                <w:bCs/>
                <w:color w:val="FFFFFF"/>
                <w:sz w:val="20"/>
                <w:szCs w:val="20"/>
              </w:rPr>
              <w:t xml:space="preserve">Balance Group</w:t>
            </w:r>
          </w:p>
        </w:tc>
        <w:tc>
          <w:tcPr>
            <w:tcW w:type="dxa" w:w="2000"/>
            <w:shd w:fill="00ADB5" w:color="auto" w:val="clear"/>
            <w:tcMar>
              <w:top w:type="dxa" w:w="80"/>
              <w:left w:type="dxa" w:w="100"/>
              <w:bottom w:type="dxa" w:w="80"/>
              <w:right w:type="dxa" w:w="100"/>
            </w:tcMar>
          </w:tcPr>
          <w:p>
            <w:r>
              <w:rPr>
                <w:b/>
                <w:bCs/>
                <w:color w:val="FFFFFF"/>
                <w:sz w:val="20"/>
                <w:szCs w:val="20"/>
              </w:rPr>
              <w:t xml:space="preserve">Activity</w:t>
            </w:r>
          </w:p>
        </w:tc>
        <w:tc>
          <w:tcPr>
            <w:tcW w:type="dxa" w:w="1700"/>
            <w:shd w:fill="00ADB5" w:color="auto" w:val="clear"/>
            <w:tcMar>
              <w:top w:type="dxa" w:w="80"/>
              <w:left w:type="dxa" w:w="100"/>
              <w:bottom w:type="dxa" w:w="80"/>
              <w:right w:type="dxa" w:w="100"/>
            </w:tcMar>
          </w:tcPr>
          <w:p>
            <w:r>
              <w:rPr>
                <w:b/>
                <w:bCs/>
                <w:color w:val="FFFFFF"/>
                <w:sz w:val="20"/>
                <w:szCs w:val="20"/>
              </w:rPr>
              <w:t xml:space="preserve">Customers</w:t>
            </w:r>
          </w:p>
        </w:tc>
        <w:tc>
          <w:tcPr>
            <w:tcW w:type="dxa" w:w="1600"/>
            <w:shd w:fill="00ADB5" w:color="auto" w:val="clear"/>
            <w:tcMar>
              <w:top w:type="dxa" w:w="80"/>
              <w:left w:type="dxa" w:w="100"/>
              <w:bottom w:type="dxa" w:w="80"/>
              <w:right w:type="dxa" w:w="100"/>
            </w:tcMar>
          </w:tcPr>
          <w:p>
            <w:r>
              <w:rPr>
                <w:b/>
                <w:bCs/>
                <w:color w:val="FFFFFF"/>
                <w:sz w:val="20"/>
                <w:szCs w:val="20"/>
              </w:rPr>
              <w:t xml:space="preserve">Churned</w:t>
            </w:r>
          </w:p>
        </w:tc>
        <w:tc>
          <w:tcPr>
            <w:tcW w:type="dxa" w:w="1900"/>
            <w:shd w:fill="00ADB5" w:color="auto" w:val="clear"/>
            <w:tcMar>
              <w:top w:type="dxa" w:w="80"/>
              <w:left w:type="dxa" w:w="100"/>
              <w:bottom w:type="dxa" w:w="80"/>
              <w:right w:type="dxa" w:w="100"/>
            </w:tcMar>
          </w:tcPr>
          <w:p>
            <w:r>
              <w:rPr>
                <w:b/>
                <w:bCs/>
                <w:color w:val="FFFFFF"/>
                <w:sz w:val="20"/>
                <w:szCs w:val="20"/>
              </w:rPr>
              <w:t xml:space="preserve">Avg. Balance</w:t>
            </w:r>
          </w:p>
        </w:tc>
        <w:tc>
          <w:tcPr>
            <w:tcW w:type="dxa" w:w="1700"/>
            <w:shd w:fill="00ADB5" w:color="auto" w:val="clear"/>
            <w:tcMar>
              <w:top w:type="dxa" w:w="80"/>
              <w:left w:type="dxa" w:w="100"/>
              <w:bottom w:type="dxa" w:w="80"/>
              <w:right w:type="dxa" w:w="100"/>
            </w:tcMar>
          </w:tcPr>
          <w:p>
            <w:r>
              <w:rPr>
                <w:b/>
                <w:bCs/>
                <w:color w:val="FFFFFF"/>
                <w:sz w:val="20"/>
                <w:szCs w:val="20"/>
              </w:rPr>
              <w:t xml:space="preserve">Churn Rate</w:t>
            </w:r>
          </w:p>
        </w:tc>
      </w:tr>
      <w:tr>
        <w:tc>
          <w:tcPr>
            <w:tcW w:type="dxa" w:w="2600"/>
            <w:tcMar>
              <w:top w:type="dxa" w:w="70"/>
              <w:left w:type="dxa" w:w="100"/>
              <w:bottom w:type="dxa" w:w="70"/>
              <w:right w:type="dxa" w:w="100"/>
            </w:tcMar>
          </w:tcPr>
          <w:p>
            <w:r>
              <w:rPr>
                <w:b w:val="false"/>
                <w:bCs w:val="false"/>
                <w:sz w:val="20"/>
                <w:szCs w:val="20"/>
              </w:rPr>
              <w:t xml:space="preserve">High Balance</w:t>
            </w:r>
          </w:p>
        </w:tc>
        <w:tc>
          <w:tcPr>
            <w:tcW w:type="dxa" w:w="2000"/>
            <w:tcMar>
              <w:top w:type="dxa" w:w="70"/>
              <w:left w:type="dxa" w:w="100"/>
              <w:bottom w:type="dxa" w:w="70"/>
              <w:right w:type="dxa" w:w="100"/>
            </w:tcMar>
          </w:tcPr>
          <w:p>
            <w:r>
              <w:rPr>
                <w:b w:val="false"/>
                <w:bCs w:val="false"/>
                <w:sz w:val="20"/>
                <w:szCs w:val="20"/>
              </w:rPr>
              <w:t xml:space="preserve">Active</w:t>
            </w:r>
          </w:p>
        </w:tc>
        <w:tc>
          <w:tcPr>
            <w:tcW w:type="dxa" w:w="1700"/>
            <w:tcMar>
              <w:top w:type="dxa" w:w="70"/>
              <w:left w:type="dxa" w:w="100"/>
              <w:bottom w:type="dxa" w:w="70"/>
              <w:right w:type="dxa" w:w="100"/>
            </w:tcMar>
          </w:tcPr>
          <w:p>
            <w:r>
              <w:rPr>
                <w:b w:val="false"/>
                <w:bCs w:val="false"/>
                <w:sz w:val="20"/>
                <w:szCs w:val="20"/>
              </w:rPr>
              <w:t xml:space="preserve">2,544</w:t>
            </w:r>
          </w:p>
        </w:tc>
        <w:tc>
          <w:tcPr>
            <w:tcW w:type="dxa" w:w="1600"/>
            <w:tcMar>
              <w:top w:type="dxa" w:w="70"/>
              <w:left w:type="dxa" w:w="100"/>
              <w:bottom w:type="dxa" w:w="70"/>
              <w:right w:type="dxa" w:w="100"/>
            </w:tcMar>
          </w:tcPr>
          <w:p>
            <w:r>
              <w:rPr>
                <w:b w:val="false"/>
                <w:bCs w:val="false"/>
                <w:sz w:val="20"/>
                <w:szCs w:val="20"/>
              </w:rPr>
              <w:t xml:space="preserve">455</w:t>
            </w:r>
          </w:p>
        </w:tc>
        <w:tc>
          <w:tcPr>
            <w:tcW w:type="dxa" w:w="1900"/>
            <w:tcMar>
              <w:top w:type="dxa" w:w="70"/>
              <w:left w:type="dxa" w:w="100"/>
              <w:bottom w:type="dxa" w:w="70"/>
              <w:right w:type="dxa" w:w="100"/>
            </w:tcMar>
          </w:tcPr>
          <w:p>
            <w:r>
              <w:rPr>
                <w:b w:val="false"/>
                <w:bCs w:val="false"/>
                <w:sz w:val="20"/>
                <w:szCs w:val="20"/>
              </w:rPr>
              <w:t xml:space="preserve">€130,910</w:t>
            </w:r>
          </w:p>
        </w:tc>
        <w:tc>
          <w:tcPr>
            <w:tcW w:type="dxa" w:w="1700"/>
            <w:tcMar>
              <w:top w:type="dxa" w:w="70"/>
              <w:left w:type="dxa" w:w="100"/>
              <w:bottom w:type="dxa" w:w="70"/>
              <w:right w:type="dxa" w:w="100"/>
            </w:tcMar>
          </w:tcPr>
          <w:p>
            <w:r>
              <w:rPr>
                <w:b w:val="false"/>
                <w:bCs w:val="false"/>
                <w:sz w:val="20"/>
                <w:szCs w:val="20"/>
              </w:rPr>
              <w:t xml:space="preserve">17.89%</w:t>
            </w:r>
          </w:p>
        </w:tc>
      </w:tr>
      <w:tr>
        <w:tc>
          <w:tcPr>
            <w:tcW w:type="dxa" w:w="2600"/>
            <w:shd w:fill="E8F7F8" w:color="auto" w:val="clear"/>
            <w:tcMar>
              <w:top w:type="dxa" w:w="70"/>
              <w:left w:type="dxa" w:w="100"/>
              <w:bottom w:type="dxa" w:w="70"/>
              <w:right w:type="dxa" w:w="100"/>
            </w:tcMar>
          </w:tcPr>
          <w:p>
            <w:r>
              <w:rPr>
                <w:b w:val="false"/>
                <w:bCs w:val="false"/>
                <w:sz w:val="20"/>
                <w:szCs w:val="20"/>
              </w:rPr>
              <w:t xml:space="preserve">High Balance</w:t>
            </w:r>
          </w:p>
        </w:tc>
        <w:tc>
          <w:tcPr>
            <w:tcW w:type="dxa" w:w="2000"/>
            <w:shd w:fill="E8F7F8" w:color="auto" w:val="clear"/>
            <w:tcMar>
              <w:top w:type="dxa" w:w="70"/>
              <w:left w:type="dxa" w:w="100"/>
              <w:bottom w:type="dxa" w:w="70"/>
              <w:right w:type="dxa" w:w="100"/>
            </w:tcMar>
          </w:tcPr>
          <w:p>
            <w:r>
              <w:rPr>
                <w:b w:val="false"/>
                <w:bCs w:val="false"/>
                <w:sz w:val="20"/>
                <w:szCs w:val="20"/>
              </w:rPr>
              <w:t xml:space="preserve">Inactive</w:t>
            </w:r>
          </w:p>
        </w:tc>
        <w:tc>
          <w:tcPr>
            <w:tcW w:type="dxa" w:w="1700"/>
            <w:shd w:fill="E8F7F8" w:color="auto" w:val="clear"/>
            <w:tcMar>
              <w:top w:type="dxa" w:w="70"/>
              <w:left w:type="dxa" w:w="100"/>
              <w:bottom w:type="dxa" w:w="70"/>
              <w:right w:type="dxa" w:w="100"/>
            </w:tcMar>
          </w:tcPr>
          <w:p>
            <w:r>
              <w:rPr>
                <w:b w:val="false"/>
                <w:bCs w:val="false"/>
                <w:sz w:val="20"/>
                <w:szCs w:val="20"/>
              </w:rPr>
              <w:t xml:space="preserve">2,456</w:t>
            </w:r>
          </w:p>
        </w:tc>
        <w:tc>
          <w:tcPr>
            <w:tcW w:type="dxa" w:w="1600"/>
            <w:shd w:fill="E8F7F8" w:color="auto" w:val="clear"/>
            <w:tcMar>
              <w:top w:type="dxa" w:w="70"/>
              <w:left w:type="dxa" w:w="100"/>
              <w:bottom w:type="dxa" w:w="70"/>
              <w:right w:type="dxa" w:w="100"/>
            </w:tcMar>
          </w:tcPr>
          <w:p>
            <w:r>
              <w:rPr>
                <w:b w:val="false"/>
                <w:bCs w:val="false"/>
                <w:sz w:val="20"/>
                <w:szCs w:val="20"/>
              </w:rPr>
              <w:t xml:space="preserve">794</w:t>
            </w:r>
          </w:p>
        </w:tc>
        <w:tc>
          <w:tcPr>
            <w:tcW w:type="dxa" w:w="1900"/>
            <w:shd w:fill="E8F7F8" w:color="auto" w:val="clear"/>
            <w:tcMar>
              <w:top w:type="dxa" w:w="70"/>
              <w:left w:type="dxa" w:w="100"/>
              <w:bottom w:type="dxa" w:w="70"/>
              <w:right w:type="dxa" w:w="100"/>
            </w:tcMar>
          </w:tcPr>
          <w:p>
            <w:r>
              <w:rPr>
                <w:b w:val="false"/>
                <w:bCs w:val="false"/>
                <w:sz w:val="20"/>
                <w:szCs w:val="20"/>
              </w:rPr>
              <w:t xml:space="preserve">€131,161</w:t>
            </w:r>
          </w:p>
        </w:tc>
        <w:tc>
          <w:tcPr>
            <w:tcW w:type="dxa" w:w="1700"/>
            <w:shd w:fill="E8F7F8" w:color="auto" w:val="clear"/>
            <w:tcMar>
              <w:top w:type="dxa" w:w="70"/>
              <w:left w:type="dxa" w:w="100"/>
              <w:bottom w:type="dxa" w:w="70"/>
              <w:right w:type="dxa" w:w="100"/>
            </w:tcMar>
          </w:tcPr>
          <w:p>
            <w:r>
              <w:rPr>
                <w:b w:val="false"/>
                <w:bCs w:val="false"/>
                <w:sz w:val="20"/>
                <w:szCs w:val="20"/>
              </w:rPr>
              <w:t xml:space="preserve">32.33%</w:t>
            </w:r>
          </w:p>
        </w:tc>
      </w:tr>
      <w:tr>
        <w:tc>
          <w:tcPr>
            <w:tcW w:type="dxa" w:w="2600"/>
            <w:tcMar>
              <w:top w:type="dxa" w:w="70"/>
              <w:left w:type="dxa" w:w="100"/>
              <w:bottom w:type="dxa" w:w="70"/>
              <w:right w:type="dxa" w:w="100"/>
            </w:tcMar>
          </w:tcPr>
          <w:p>
            <w:r>
              <w:rPr>
                <w:b w:val="false"/>
                <w:bCs w:val="false"/>
                <w:sz w:val="20"/>
                <w:szCs w:val="20"/>
              </w:rPr>
              <w:t xml:space="preserve">Low Balance</w:t>
            </w:r>
          </w:p>
        </w:tc>
        <w:tc>
          <w:tcPr>
            <w:tcW w:type="dxa" w:w="2000"/>
            <w:tcMar>
              <w:top w:type="dxa" w:w="70"/>
              <w:left w:type="dxa" w:w="100"/>
              <w:bottom w:type="dxa" w:w="70"/>
              <w:right w:type="dxa" w:w="100"/>
            </w:tcMar>
          </w:tcPr>
          <w:p>
            <w:r>
              <w:rPr>
                <w:b w:val="false"/>
                <w:bCs w:val="false"/>
                <w:sz w:val="20"/>
                <w:szCs w:val="20"/>
              </w:rPr>
              <w:t xml:space="preserve">Active</w:t>
            </w:r>
          </w:p>
        </w:tc>
        <w:tc>
          <w:tcPr>
            <w:tcW w:type="dxa" w:w="1700"/>
            <w:tcMar>
              <w:top w:type="dxa" w:w="70"/>
              <w:left w:type="dxa" w:w="100"/>
              <w:bottom w:type="dxa" w:w="70"/>
              <w:right w:type="dxa" w:w="100"/>
            </w:tcMar>
          </w:tcPr>
          <w:p>
            <w:r>
              <w:rPr>
                <w:b w:val="false"/>
                <w:bCs w:val="false"/>
                <w:sz w:val="20"/>
                <w:szCs w:val="20"/>
              </w:rPr>
              <w:t xml:space="preserve">2,607</w:t>
            </w:r>
          </w:p>
        </w:tc>
        <w:tc>
          <w:tcPr>
            <w:tcW w:type="dxa" w:w="1600"/>
            <w:tcMar>
              <w:top w:type="dxa" w:w="70"/>
              <w:left w:type="dxa" w:w="100"/>
              <w:bottom w:type="dxa" w:w="70"/>
              <w:right w:type="dxa" w:w="100"/>
            </w:tcMar>
          </w:tcPr>
          <w:p>
            <w:r>
              <w:rPr>
                <w:b w:val="false"/>
                <w:bCs w:val="false"/>
                <w:sz w:val="20"/>
                <w:szCs w:val="20"/>
              </w:rPr>
              <w:t xml:space="preserve">280</w:t>
            </w:r>
          </w:p>
        </w:tc>
        <w:tc>
          <w:tcPr>
            <w:tcW w:type="dxa" w:w="1900"/>
            <w:tcMar>
              <w:top w:type="dxa" w:w="70"/>
              <w:left w:type="dxa" w:w="100"/>
              <w:bottom w:type="dxa" w:w="70"/>
              <w:right w:type="dxa" w:w="100"/>
            </w:tcMar>
          </w:tcPr>
          <w:p>
            <w:r>
              <w:rPr>
                <w:b w:val="false"/>
                <w:bCs w:val="false"/>
                <w:sz w:val="20"/>
                <w:szCs w:val="20"/>
              </w:rPr>
              <w:t xml:space="preserve">€22,171</w:t>
            </w:r>
          </w:p>
        </w:tc>
        <w:tc>
          <w:tcPr>
            <w:tcW w:type="dxa" w:w="1700"/>
            <w:tcMar>
              <w:top w:type="dxa" w:w="70"/>
              <w:left w:type="dxa" w:w="100"/>
              <w:bottom w:type="dxa" w:w="70"/>
              <w:right w:type="dxa" w:w="100"/>
            </w:tcMar>
          </w:tcPr>
          <w:p>
            <w:r>
              <w:rPr>
                <w:b w:val="false"/>
                <w:bCs w:val="false"/>
                <w:sz w:val="20"/>
                <w:szCs w:val="20"/>
              </w:rPr>
              <w:t xml:space="preserve">10.74%</w:t>
            </w:r>
          </w:p>
        </w:tc>
      </w:tr>
      <w:tr>
        <w:tc>
          <w:tcPr>
            <w:tcW w:type="dxa" w:w="2600"/>
            <w:shd w:fill="E8F7F8" w:color="auto" w:val="clear"/>
            <w:tcMar>
              <w:top w:type="dxa" w:w="70"/>
              <w:left w:type="dxa" w:w="100"/>
              <w:bottom w:type="dxa" w:w="70"/>
              <w:right w:type="dxa" w:w="100"/>
            </w:tcMar>
          </w:tcPr>
          <w:p>
            <w:r>
              <w:rPr>
                <w:b w:val="false"/>
                <w:bCs w:val="false"/>
                <w:sz w:val="20"/>
                <w:szCs w:val="20"/>
              </w:rPr>
              <w:t xml:space="preserve">Low Balance</w:t>
            </w:r>
          </w:p>
        </w:tc>
        <w:tc>
          <w:tcPr>
            <w:tcW w:type="dxa" w:w="2000"/>
            <w:shd w:fill="E8F7F8" w:color="auto" w:val="clear"/>
            <w:tcMar>
              <w:top w:type="dxa" w:w="70"/>
              <w:left w:type="dxa" w:w="100"/>
              <w:bottom w:type="dxa" w:w="70"/>
              <w:right w:type="dxa" w:w="100"/>
            </w:tcMar>
          </w:tcPr>
          <w:p>
            <w:r>
              <w:rPr>
                <w:b w:val="false"/>
                <w:bCs w:val="false"/>
                <w:sz w:val="20"/>
                <w:szCs w:val="20"/>
              </w:rPr>
              <w:t xml:space="preserve">Inactive</w:t>
            </w:r>
          </w:p>
        </w:tc>
        <w:tc>
          <w:tcPr>
            <w:tcW w:type="dxa" w:w="1700"/>
            <w:shd w:fill="E8F7F8" w:color="auto" w:val="clear"/>
            <w:tcMar>
              <w:top w:type="dxa" w:w="70"/>
              <w:left w:type="dxa" w:w="100"/>
              <w:bottom w:type="dxa" w:w="70"/>
              <w:right w:type="dxa" w:w="100"/>
            </w:tcMar>
          </w:tcPr>
          <w:p>
            <w:r>
              <w:rPr>
                <w:b w:val="false"/>
                <w:bCs w:val="false"/>
                <w:sz w:val="20"/>
                <w:szCs w:val="20"/>
              </w:rPr>
              <w:t xml:space="preserve">2,393</w:t>
            </w:r>
          </w:p>
        </w:tc>
        <w:tc>
          <w:tcPr>
            <w:tcW w:type="dxa" w:w="1600"/>
            <w:shd w:fill="E8F7F8" w:color="auto" w:val="clear"/>
            <w:tcMar>
              <w:top w:type="dxa" w:w="70"/>
              <w:left w:type="dxa" w:w="100"/>
              <w:bottom w:type="dxa" w:w="70"/>
              <w:right w:type="dxa" w:w="100"/>
            </w:tcMar>
          </w:tcPr>
          <w:p>
            <w:r>
              <w:rPr>
                <w:b w:val="false"/>
                <w:bCs w:val="false"/>
                <w:sz w:val="20"/>
                <w:szCs w:val="20"/>
              </w:rPr>
              <w:t xml:space="preserve">508</w:t>
            </w:r>
          </w:p>
        </w:tc>
        <w:tc>
          <w:tcPr>
            <w:tcW w:type="dxa" w:w="1900"/>
            <w:shd w:fill="E8F7F8" w:color="auto" w:val="clear"/>
            <w:tcMar>
              <w:top w:type="dxa" w:w="70"/>
              <w:left w:type="dxa" w:w="100"/>
              <w:bottom w:type="dxa" w:w="70"/>
              <w:right w:type="dxa" w:w="100"/>
            </w:tcMar>
          </w:tcPr>
          <w:p>
            <w:r>
              <w:rPr>
                <w:b w:val="false"/>
                <w:bCs w:val="false"/>
                <w:sz w:val="20"/>
                <w:szCs w:val="20"/>
              </w:rPr>
              <w:t xml:space="preserve">€21,685</w:t>
            </w:r>
          </w:p>
        </w:tc>
        <w:tc>
          <w:tcPr>
            <w:tcW w:type="dxa" w:w="1700"/>
            <w:shd w:fill="E8F7F8" w:color="auto" w:val="clear"/>
            <w:tcMar>
              <w:top w:type="dxa" w:w="70"/>
              <w:left w:type="dxa" w:w="100"/>
              <w:bottom w:type="dxa" w:w="70"/>
              <w:right w:type="dxa" w:w="100"/>
            </w:tcMar>
          </w:tcPr>
          <w:p>
            <w:r>
              <w:rPr>
                <w:b w:val="false"/>
                <w:bCs w:val="false"/>
                <w:sz w:val="20"/>
                <w:szCs w:val="20"/>
              </w:rPr>
              <w:t xml:space="preserve">21.23%</w:t>
            </w:r>
          </w:p>
        </w:tc>
      </w:tr>
    </w:tbl>
    <w:p>
      <w:pPr>
        <w:spacing w:after="160" w:line="300"/>
      </w:pPr>
      <w:r>
        <w:t xml:space="preserve"/>
      </w:r>
    </w:p>
    <w:p>
      <w:pPr>
        <w:spacing w:after="160" w:line="300"/>
      </w:pPr>
      <w:r>
        <w:t xml:space="preserve">High-balance, inactive customers are the highest-risk, highest-value combination: nearly 1 in 3 churns, and each carries roughly €131K in balance. This is the single most financially significant risk segment in the dataset.</w:t>
      </w:r>
    </w:p>
    <w:p>
      <w:pPr>
        <w:pStyle w:val="Heading2"/>
        <w:spacing w:after="120" w:before="240"/>
      </w:pPr>
      <w:r>
        <w:t xml:space="preserve">3.4 Salary–Balance Mismatch</w:t>
      </w:r>
    </w:p>
    <w:p>
      <w:pPr>
        <w:spacing w:after="160" w:line="300"/>
      </w:pPr>
      <w:r>
        <w:t xml:space="preserve">Splitting customers by whether salary and balance move together or apart reveals a meaningful asymmetry: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900"/>
        <w:gridCol w:w="1900"/>
        <w:gridCol w:w="1500"/>
      </w:tblGrid>
      <w:tr>
        <w:trPr>
          <w:tblHeader/>
        </w:trPr>
        <w:tc>
          <w:tcPr>
            <w:tcW w:type="dxa" w:w="3200"/>
            <w:shd w:fill="00ADB5" w:color="auto" w:val="clear"/>
            <w:tcMar>
              <w:top w:type="dxa" w:w="80"/>
              <w:left w:type="dxa" w:w="100"/>
              <w:bottom w:type="dxa" w:w="80"/>
              <w:right w:type="dxa" w:w="100"/>
            </w:tcMar>
          </w:tcPr>
          <w:p>
            <w:r>
              <w:rPr>
                <w:b/>
                <w:bCs/>
                <w:color w:val="FFFFFF"/>
                <w:sz w:val="20"/>
                <w:szCs w:val="20"/>
              </w:rPr>
              <w:t xml:space="preserve">Segment</w:t>
            </w:r>
          </w:p>
        </w:tc>
        <w:tc>
          <w:tcPr>
            <w:tcW w:type="dxa" w:w="2000"/>
            <w:shd w:fill="00ADB5" w:color="auto" w:val="clear"/>
            <w:tcMar>
              <w:top w:type="dxa" w:w="80"/>
              <w:left w:type="dxa" w:w="100"/>
              <w:bottom w:type="dxa" w:w="80"/>
              <w:right w:type="dxa" w:w="100"/>
            </w:tcMar>
          </w:tcPr>
          <w:p>
            <w:r>
              <w:rPr>
                <w:b/>
                <w:bCs/>
                <w:color w:val="FFFFFF"/>
                <w:sz w:val="20"/>
                <w:szCs w:val="20"/>
              </w:rPr>
              <w:t xml:space="preserve">Customers</w:t>
            </w:r>
          </w:p>
        </w:tc>
        <w:tc>
          <w:tcPr>
            <w:tcW w:type="dxa" w:w="1900"/>
            <w:shd w:fill="00ADB5" w:color="auto" w:val="clear"/>
            <w:tcMar>
              <w:top w:type="dxa" w:w="80"/>
              <w:left w:type="dxa" w:w="100"/>
              <w:bottom w:type="dxa" w:w="80"/>
              <w:right w:type="dxa" w:w="100"/>
            </w:tcMar>
          </w:tcPr>
          <w:p>
            <w:r>
              <w:rPr>
                <w:b/>
                <w:bCs/>
                <w:color w:val="FFFFFF"/>
                <w:sz w:val="20"/>
                <w:szCs w:val="20"/>
              </w:rPr>
              <w:t xml:space="preserve">Avg. Salary</w:t>
            </w:r>
          </w:p>
        </w:tc>
        <w:tc>
          <w:tcPr>
            <w:tcW w:type="dxa" w:w="1900"/>
            <w:shd w:fill="00ADB5" w:color="auto" w:val="clear"/>
            <w:tcMar>
              <w:top w:type="dxa" w:w="80"/>
              <w:left w:type="dxa" w:w="100"/>
              <w:bottom w:type="dxa" w:w="80"/>
              <w:right w:type="dxa" w:w="100"/>
            </w:tcMar>
          </w:tcPr>
          <w:p>
            <w:r>
              <w:rPr>
                <w:b/>
                <w:bCs/>
                <w:color w:val="FFFFFF"/>
                <w:sz w:val="20"/>
                <w:szCs w:val="20"/>
              </w:rPr>
              <w:t xml:space="preserve">Avg. Balance</w:t>
            </w:r>
          </w:p>
        </w:tc>
        <w:tc>
          <w:tcPr>
            <w:tcW w:type="dxa" w:w="1500"/>
            <w:shd w:fill="00ADB5" w:color="auto" w:val="clear"/>
            <w:tcMar>
              <w:top w:type="dxa" w:w="80"/>
              <w:left w:type="dxa" w:w="100"/>
              <w:bottom w:type="dxa" w:w="80"/>
              <w:right w:type="dxa" w:w="100"/>
            </w:tcMar>
          </w:tcPr>
          <w:p>
            <w:r>
              <w:rPr>
                <w:b/>
                <w:bCs/>
                <w:color w:val="FFFFFF"/>
                <w:sz w:val="20"/>
                <w:szCs w:val="20"/>
              </w:rPr>
              <w:t xml:space="preserve">Churn Rate</w:t>
            </w:r>
          </w:p>
        </w:tc>
      </w:tr>
      <w:tr>
        <w:tc>
          <w:tcPr>
            <w:tcW w:type="dxa" w:w="3200"/>
            <w:tcMar>
              <w:top w:type="dxa" w:w="70"/>
              <w:left w:type="dxa" w:w="100"/>
              <w:bottom w:type="dxa" w:w="70"/>
              <w:right w:type="dxa" w:w="100"/>
            </w:tcMar>
          </w:tcPr>
          <w:p>
            <w:r>
              <w:rPr>
                <w:b w:val="false"/>
                <w:bCs w:val="false"/>
                <w:sz w:val="20"/>
                <w:szCs w:val="20"/>
              </w:rPr>
              <w:t xml:space="preserve">High Salary – Low Balance</w:t>
            </w:r>
          </w:p>
        </w:tc>
        <w:tc>
          <w:tcPr>
            <w:tcW w:type="dxa" w:w="2000"/>
            <w:tcMar>
              <w:top w:type="dxa" w:w="70"/>
              <w:left w:type="dxa" w:w="100"/>
              <w:bottom w:type="dxa" w:w="70"/>
              <w:right w:type="dxa" w:w="100"/>
            </w:tcMar>
          </w:tcPr>
          <w:p>
            <w:r>
              <w:rPr>
                <w:b w:val="false"/>
                <w:bCs w:val="false"/>
                <w:sz w:val="20"/>
                <w:szCs w:val="20"/>
              </w:rPr>
              <w:t xml:space="preserve">2,484</w:t>
            </w:r>
          </w:p>
        </w:tc>
        <w:tc>
          <w:tcPr>
            <w:tcW w:type="dxa" w:w="1900"/>
            <w:tcMar>
              <w:top w:type="dxa" w:w="70"/>
              <w:left w:type="dxa" w:w="100"/>
              <w:bottom w:type="dxa" w:w="70"/>
              <w:right w:type="dxa" w:w="100"/>
            </w:tcMar>
          </w:tcPr>
          <w:p>
            <w:r>
              <w:rPr>
                <w:b w:val="false"/>
                <w:bCs w:val="false"/>
                <w:sz w:val="20"/>
                <w:szCs w:val="20"/>
              </w:rPr>
              <w:t xml:space="preserve">€149,636</w:t>
            </w:r>
          </w:p>
        </w:tc>
        <w:tc>
          <w:tcPr>
            <w:tcW w:type="dxa" w:w="1900"/>
            <w:tcMar>
              <w:top w:type="dxa" w:w="70"/>
              <w:left w:type="dxa" w:w="100"/>
              <w:bottom w:type="dxa" w:w="70"/>
              <w:right w:type="dxa" w:w="100"/>
            </w:tcMar>
          </w:tcPr>
          <w:p>
            <w:r>
              <w:rPr>
                <w:b w:val="false"/>
                <w:bCs w:val="false"/>
                <w:sz w:val="20"/>
                <w:szCs w:val="20"/>
              </w:rPr>
              <w:t xml:space="preserve">€22,623</w:t>
            </w:r>
          </w:p>
        </w:tc>
        <w:tc>
          <w:tcPr>
            <w:tcW w:type="dxa" w:w="1500"/>
            <w:tcMar>
              <w:top w:type="dxa" w:w="70"/>
              <w:left w:type="dxa" w:w="100"/>
              <w:bottom w:type="dxa" w:w="70"/>
              <w:right w:type="dxa" w:w="100"/>
            </w:tcMar>
          </w:tcPr>
          <w:p>
            <w:r>
              <w:rPr>
                <w:b w:val="false"/>
                <w:bCs w:val="false"/>
                <w:sz w:val="20"/>
                <w:szCs w:val="20"/>
              </w:rPr>
              <w:t xml:space="preserve">16.55%</w:t>
            </w:r>
          </w:p>
        </w:tc>
      </w:tr>
      <w:tr>
        <w:tc>
          <w:tcPr>
            <w:tcW w:type="dxa" w:w="3200"/>
            <w:shd w:fill="E8F7F8" w:color="auto" w:val="clear"/>
            <w:tcMar>
              <w:top w:type="dxa" w:w="70"/>
              <w:left w:type="dxa" w:w="100"/>
              <w:bottom w:type="dxa" w:w="70"/>
              <w:right w:type="dxa" w:w="100"/>
            </w:tcMar>
          </w:tcPr>
          <w:p>
            <w:r>
              <w:rPr>
                <w:b w:val="false"/>
                <w:bCs w:val="false"/>
                <w:sz w:val="20"/>
                <w:szCs w:val="20"/>
              </w:rPr>
              <w:t xml:space="preserve">Low Salary – High Balance</w:t>
            </w:r>
          </w:p>
        </w:tc>
        <w:tc>
          <w:tcPr>
            <w:tcW w:type="dxa" w:w="2000"/>
            <w:shd w:fill="E8F7F8" w:color="auto" w:val="clear"/>
            <w:tcMar>
              <w:top w:type="dxa" w:w="70"/>
              <w:left w:type="dxa" w:w="100"/>
              <w:bottom w:type="dxa" w:w="70"/>
              <w:right w:type="dxa" w:w="100"/>
            </w:tcMar>
          </w:tcPr>
          <w:p>
            <w:r>
              <w:rPr>
                <w:b w:val="false"/>
                <w:bCs w:val="false"/>
                <w:sz w:val="20"/>
                <w:szCs w:val="20"/>
              </w:rPr>
              <w:t xml:space="preserve">2,484</w:t>
            </w:r>
          </w:p>
        </w:tc>
        <w:tc>
          <w:tcPr>
            <w:tcW w:type="dxa" w:w="1900"/>
            <w:shd w:fill="E8F7F8" w:color="auto" w:val="clear"/>
            <w:tcMar>
              <w:top w:type="dxa" w:w="70"/>
              <w:left w:type="dxa" w:w="100"/>
              <w:bottom w:type="dxa" w:w="70"/>
              <w:right w:type="dxa" w:w="100"/>
            </w:tcMar>
          </w:tcPr>
          <w:p>
            <w:r>
              <w:rPr>
                <w:b w:val="false"/>
                <w:bCs w:val="false"/>
                <w:sz w:val="20"/>
                <w:szCs w:val="20"/>
              </w:rPr>
              <w:t xml:space="preserve">€50,694</w:t>
            </w:r>
          </w:p>
        </w:tc>
        <w:tc>
          <w:tcPr>
            <w:tcW w:type="dxa" w:w="1900"/>
            <w:shd w:fill="E8F7F8" w:color="auto" w:val="clear"/>
            <w:tcMar>
              <w:top w:type="dxa" w:w="70"/>
              <w:left w:type="dxa" w:w="100"/>
              <w:bottom w:type="dxa" w:w="70"/>
              <w:right w:type="dxa" w:w="100"/>
            </w:tcMar>
          </w:tcPr>
          <w:p>
            <w:r>
              <w:rPr>
                <w:b w:val="false"/>
                <w:bCs w:val="false"/>
                <w:sz w:val="20"/>
                <w:szCs w:val="20"/>
              </w:rPr>
              <w:t xml:space="preserve">€130,995</w:t>
            </w:r>
          </w:p>
        </w:tc>
        <w:tc>
          <w:tcPr>
            <w:tcW w:type="dxa" w:w="1500"/>
            <w:shd w:fill="E8F7F8" w:color="auto" w:val="clear"/>
            <w:tcMar>
              <w:top w:type="dxa" w:w="70"/>
              <w:left w:type="dxa" w:w="100"/>
              <w:bottom w:type="dxa" w:w="70"/>
              <w:right w:type="dxa" w:w="100"/>
            </w:tcMar>
          </w:tcPr>
          <w:p>
            <w:r>
              <w:rPr>
                <w:b w:val="false"/>
                <w:bCs w:val="false"/>
                <w:sz w:val="20"/>
                <w:szCs w:val="20"/>
              </w:rPr>
              <w:t xml:space="preserve">24.88%</w:t>
            </w:r>
          </w:p>
        </w:tc>
      </w:tr>
      <w:tr>
        <w:tc>
          <w:tcPr>
            <w:tcW w:type="dxa" w:w="3200"/>
            <w:tcMar>
              <w:top w:type="dxa" w:w="70"/>
              <w:left w:type="dxa" w:w="100"/>
              <w:bottom w:type="dxa" w:w="70"/>
              <w:right w:type="dxa" w:w="100"/>
            </w:tcMar>
          </w:tcPr>
          <w:p>
            <w:r>
              <w:rPr>
                <w:b w:val="false"/>
                <w:bCs w:val="false"/>
                <w:sz w:val="20"/>
                <w:szCs w:val="20"/>
              </w:rPr>
              <w:t xml:space="preserve">Normal (aligned)</w:t>
            </w:r>
          </w:p>
        </w:tc>
        <w:tc>
          <w:tcPr>
            <w:tcW w:type="dxa" w:w="2000"/>
            <w:tcMar>
              <w:top w:type="dxa" w:w="70"/>
              <w:left w:type="dxa" w:w="100"/>
              <w:bottom w:type="dxa" w:w="70"/>
              <w:right w:type="dxa" w:w="100"/>
            </w:tcMar>
          </w:tcPr>
          <w:p>
            <w:r>
              <w:rPr>
                <w:b w:val="false"/>
                <w:bCs w:val="false"/>
                <w:sz w:val="20"/>
                <w:szCs w:val="20"/>
              </w:rPr>
              <w:t xml:space="preserve">5,032</w:t>
            </w:r>
          </w:p>
        </w:tc>
        <w:tc>
          <w:tcPr>
            <w:tcW w:type="dxa" w:w="1900"/>
            <w:tcMar>
              <w:top w:type="dxa" w:w="70"/>
              <w:left w:type="dxa" w:w="100"/>
              <w:bottom w:type="dxa" w:w="70"/>
              <w:right w:type="dxa" w:w="100"/>
            </w:tcMar>
          </w:tcPr>
          <w:p>
            <w:r>
              <w:rPr>
                <w:b w:val="false"/>
                <w:bCs w:val="false"/>
                <w:sz w:val="20"/>
                <w:szCs w:val="20"/>
              </w:rPr>
              <w:t xml:space="preserve">€100,016</w:t>
            </w:r>
          </w:p>
        </w:tc>
        <w:tc>
          <w:tcPr>
            <w:tcW w:type="dxa" w:w="1900"/>
            <w:tcMar>
              <w:top w:type="dxa" w:w="70"/>
              <w:left w:type="dxa" w:w="100"/>
              <w:bottom w:type="dxa" w:w="70"/>
              <w:right w:type="dxa" w:w="100"/>
            </w:tcMar>
          </w:tcPr>
          <w:p>
            <w:r>
              <w:rPr>
                <w:b w:val="false"/>
                <w:bCs w:val="false"/>
                <w:sz w:val="20"/>
                <w:szCs w:val="20"/>
              </w:rPr>
              <w:t xml:space="preserve">€76,167</w:t>
            </w:r>
          </w:p>
        </w:tc>
        <w:tc>
          <w:tcPr>
            <w:tcW w:type="dxa" w:w="1500"/>
            <w:tcMar>
              <w:top w:type="dxa" w:w="70"/>
              <w:left w:type="dxa" w:w="100"/>
              <w:bottom w:type="dxa" w:w="70"/>
              <w:right w:type="dxa" w:w="100"/>
            </w:tcMar>
          </w:tcPr>
          <w:p>
            <w:r>
              <w:rPr>
                <w:b w:val="false"/>
                <w:bCs w:val="false"/>
                <w:sz w:val="20"/>
                <w:szCs w:val="20"/>
              </w:rPr>
              <w:t xml:space="preserve">20.03%</w:t>
            </w:r>
          </w:p>
        </w:tc>
      </w:tr>
    </w:tbl>
    <w:p>
      <w:pPr>
        <w:spacing w:after="160" w:line="300"/>
      </w:pPr>
      <w:r>
        <w:t xml:space="preserve"/>
      </w:r>
    </w:p>
    <w:p>
      <w:pPr>
        <w:spacing w:after="160" w:line="300"/>
      </w:pPr>
      <w:r>
        <w:t xml:space="preserve">Customers earning relatively little but holding a high balance churn nearly 25% of the time — the highest of the three groups — while high earners keeping low balances are comparatively the most stable (16.55%). This suggests the low-salary/high-balance group may be relationship-managed elsewhere or feel their savings are underserved by current offerings.</w:t>
      </w:r>
    </w:p>
    <w:p>
      <w:pPr>
        <w:pStyle w:val="Heading2"/>
        <w:spacing w:after="120" w:before="240"/>
      </w:pPr>
      <w:r>
        <w:t xml:space="preserve">3.5 Premium &amp; At-Risk Customers</w:t>
      </w:r>
    </w:p>
    <w:p>
      <w:pPr>
        <w:spacing w:after="160" w:line="300"/>
      </w:pPr>
      <w:r>
        <w:t xml:space="preserve">Applying the premium-customer definition (above-median balance and salary, tenure ≥ 6 years, 2+ products) identifies 421 premium customers — of whom 211 (50.1%) are currently inactive and therefore flagged as at-risk. Half of the bank's premium customer base is disengaged, representing a concentrated, high-value retention opportunity.</w:t>
      </w:r>
    </w:p>
    <w:p>
      <w:pPr>
        <w:pStyle w:val="Heading2"/>
        <w:spacing w:after="120" w:before="240"/>
      </w:pPr>
      <w:r>
        <w:t xml:space="preserve">3.6 Retention Strength Score</w:t>
      </w:r>
    </w:p>
    <w:p>
      <w:pPr>
        <w:spacing w:after="160" w:line="300"/>
      </w:pPr>
      <w:r>
        <w:t xml:space="preserve">A composite 0–4 retention-strength score (activity, multi-product holding, above-median balance, tenure ≥ 6 years) was used to bucket customers: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2200"/>
        <w:gridCol w:w="2000"/>
      </w:tblGrid>
      <w:tr>
        <w:trPr>
          <w:tblHeader/>
        </w:trPr>
        <w:tc>
          <w:tcPr>
            <w:tcW w:type="dxa" w:w="3600"/>
            <w:shd w:fill="00ADB5" w:color="auto" w:val="clear"/>
            <w:tcMar>
              <w:top w:type="dxa" w:w="80"/>
              <w:left w:type="dxa" w:w="100"/>
              <w:bottom w:type="dxa" w:w="80"/>
              <w:right w:type="dxa" w:w="100"/>
            </w:tcMar>
          </w:tcPr>
          <w:p>
            <w:r>
              <w:rPr>
                <w:b/>
                <w:bCs/>
                <w:color w:val="FFFFFF"/>
                <w:sz w:val="20"/>
                <w:szCs w:val="20"/>
              </w:rPr>
              <w:t xml:space="preserve">Retention Strength</w:t>
            </w:r>
          </w:p>
        </w:tc>
        <w:tc>
          <w:tcPr>
            <w:tcW w:type="dxa" w:w="2200"/>
            <w:shd w:fill="00ADB5" w:color="auto" w:val="clear"/>
            <w:tcMar>
              <w:top w:type="dxa" w:w="80"/>
              <w:left w:type="dxa" w:w="100"/>
              <w:bottom w:type="dxa" w:w="80"/>
              <w:right w:type="dxa" w:w="100"/>
            </w:tcMar>
          </w:tcPr>
          <w:p>
            <w:r>
              <w:rPr>
                <w:b/>
                <w:bCs/>
                <w:color w:val="FFFFFF"/>
                <w:sz w:val="20"/>
                <w:szCs w:val="20"/>
              </w:rPr>
              <w:t xml:space="preserve">Customers</w:t>
            </w:r>
          </w:p>
        </w:tc>
        <w:tc>
          <w:tcPr>
            <w:tcW w:type="dxa" w:w="2200"/>
            <w:shd w:fill="00ADB5" w:color="auto" w:val="clear"/>
            <w:tcMar>
              <w:top w:type="dxa" w:w="80"/>
              <w:left w:type="dxa" w:w="100"/>
              <w:bottom w:type="dxa" w:w="80"/>
              <w:right w:type="dxa" w:w="100"/>
            </w:tcMar>
          </w:tcPr>
          <w:p>
            <w:r>
              <w:rPr>
                <w:b/>
                <w:bCs/>
                <w:color w:val="FFFFFF"/>
                <w:sz w:val="20"/>
                <w:szCs w:val="20"/>
              </w:rPr>
              <w:t xml:space="preserve">Churned</w:t>
            </w:r>
          </w:p>
        </w:tc>
        <w:tc>
          <w:tcPr>
            <w:tcW w:type="dxa" w:w="2000"/>
            <w:shd w:fill="00ADB5" w:color="auto" w:val="clear"/>
            <w:tcMar>
              <w:top w:type="dxa" w:w="80"/>
              <w:left w:type="dxa" w:w="100"/>
              <w:bottom w:type="dxa" w:w="80"/>
              <w:right w:type="dxa" w:w="100"/>
            </w:tcMar>
          </w:tcPr>
          <w:p>
            <w:r>
              <w:rPr>
                <w:b/>
                <w:bCs/>
                <w:color w:val="FFFFFF"/>
                <w:sz w:val="20"/>
                <w:szCs w:val="20"/>
              </w:rPr>
              <w:t xml:space="preserve">Churn Rate</w:t>
            </w:r>
          </w:p>
        </w:tc>
      </w:tr>
      <w:tr>
        <w:tc>
          <w:tcPr>
            <w:tcW w:type="dxa" w:w="3600"/>
            <w:tcMar>
              <w:top w:type="dxa" w:w="70"/>
              <w:left w:type="dxa" w:w="100"/>
              <w:bottom w:type="dxa" w:w="70"/>
              <w:right w:type="dxa" w:w="100"/>
            </w:tcMar>
          </w:tcPr>
          <w:p>
            <w:r>
              <w:rPr>
                <w:b w:val="false"/>
                <w:bCs w:val="false"/>
                <w:sz w:val="20"/>
                <w:szCs w:val="20"/>
              </w:rPr>
              <w:t xml:space="preserve">Weak</w:t>
            </w:r>
          </w:p>
        </w:tc>
        <w:tc>
          <w:tcPr>
            <w:tcW w:type="dxa" w:w="2200"/>
            <w:tcMar>
              <w:top w:type="dxa" w:w="70"/>
              <w:left w:type="dxa" w:w="100"/>
              <w:bottom w:type="dxa" w:w="70"/>
              <w:right w:type="dxa" w:w="100"/>
            </w:tcMar>
          </w:tcPr>
          <w:p>
            <w:r>
              <w:rPr>
                <w:b w:val="false"/>
                <w:bCs w:val="false"/>
                <w:sz w:val="20"/>
                <w:szCs w:val="20"/>
              </w:rPr>
              <w:t xml:space="preserve">3,119</w:t>
            </w:r>
          </w:p>
        </w:tc>
        <w:tc>
          <w:tcPr>
            <w:tcW w:type="dxa" w:w="2200"/>
            <w:tcMar>
              <w:top w:type="dxa" w:w="70"/>
              <w:left w:type="dxa" w:w="100"/>
              <w:bottom w:type="dxa" w:w="70"/>
              <w:right w:type="dxa" w:w="100"/>
            </w:tcMar>
          </w:tcPr>
          <w:p>
            <w:r>
              <w:rPr>
                <w:b w:val="false"/>
                <w:bCs w:val="false"/>
                <w:sz w:val="20"/>
                <w:szCs w:val="20"/>
              </w:rPr>
              <w:t xml:space="preserve">881</w:t>
            </w:r>
          </w:p>
        </w:tc>
        <w:tc>
          <w:tcPr>
            <w:tcW w:type="dxa" w:w="2000"/>
            <w:tcMar>
              <w:top w:type="dxa" w:w="70"/>
              <w:left w:type="dxa" w:w="100"/>
              <w:bottom w:type="dxa" w:w="70"/>
              <w:right w:type="dxa" w:w="100"/>
            </w:tcMar>
          </w:tcPr>
          <w:p>
            <w:r>
              <w:rPr>
                <w:b w:val="false"/>
                <w:bCs w:val="false"/>
                <w:sz w:val="20"/>
                <w:szCs w:val="20"/>
              </w:rPr>
              <w:t xml:space="preserve">28.25%</w:t>
            </w:r>
          </w:p>
        </w:tc>
      </w:tr>
      <w:tr>
        <w:tc>
          <w:tcPr>
            <w:tcW w:type="dxa" w:w="3600"/>
            <w:shd w:fill="E8F7F8" w:color="auto" w:val="clear"/>
            <w:tcMar>
              <w:top w:type="dxa" w:w="70"/>
              <w:left w:type="dxa" w:w="100"/>
              <w:bottom w:type="dxa" w:w="70"/>
              <w:right w:type="dxa" w:w="100"/>
            </w:tcMar>
          </w:tcPr>
          <w:p>
            <w:r>
              <w:rPr>
                <w:b w:val="false"/>
                <w:bCs w:val="false"/>
                <w:sz w:val="20"/>
                <w:szCs w:val="20"/>
              </w:rPr>
              <w:t xml:space="preserve">Moderate</w:t>
            </w:r>
          </w:p>
        </w:tc>
        <w:tc>
          <w:tcPr>
            <w:tcW w:type="dxa" w:w="2200"/>
            <w:shd w:fill="E8F7F8" w:color="auto" w:val="clear"/>
            <w:tcMar>
              <w:top w:type="dxa" w:w="70"/>
              <w:left w:type="dxa" w:w="100"/>
              <w:bottom w:type="dxa" w:w="70"/>
              <w:right w:type="dxa" w:w="100"/>
            </w:tcMar>
          </w:tcPr>
          <w:p>
            <w:r>
              <w:rPr>
                <w:b w:val="false"/>
                <w:bCs w:val="false"/>
                <w:sz w:val="20"/>
                <w:szCs w:val="20"/>
              </w:rPr>
              <w:t xml:space="preserve">6,501</w:t>
            </w:r>
          </w:p>
        </w:tc>
        <w:tc>
          <w:tcPr>
            <w:tcW w:type="dxa" w:w="2200"/>
            <w:shd w:fill="E8F7F8" w:color="auto" w:val="clear"/>
            <w:tcMar>
              <w:top w:type="dxa" w:w="70"/>
              <w:left w:type="dxa" w:w="100"/>
              <w:bottom w:type="dxa" w:w="70"/>
              <w:right w:type="dxa" w:w="100"/>
            </w:tcMar>
          </w:tcPr>
          <w:p>
            <w:r>
              <w:rPr>
                <w:b w:val="false"/>
                <w:bCs w:val="false"/>
                <w:sz w:val="20"/>
                <w:szCs w:val="20"/>
              </w:rPr>
              <w:t xml:space="preserve">1,093</w:t>
            </w:r>
          </w:p>
        </w:tc>
        <w:tc>
          <w:tcPr>
            <w:tcW w:type="dxa" w:w="2000"/>
            <w:shd w:fill="E8F7F8" w:color="auto" w:val="clear"/>
            <w:tcMar>
              <w:top w:type="dxa" w:w="70"/>
              <w:left w:type="dxa" w:w="100"/>
              <w:bottom w:type="dxa" w:w="70"/>
              <w:right w:type="dxa" w:w="100"/>
            </w:tcMar>
          </w:tcPr>
          <w:p>
            <w:r>
              <w:rPr>
                <w:b w:val="false"/>
                <w:bCs w:val="false"/>
                <w:sz w:val="20"/>
                <w:szCs w:val="20"/>
              </w:rPr>
              <w:t xml:space="preserve">16.81%</w:t>
            </w:r>
          </w:p>
        </w:tc>
      </w:tr>
      <w:tr>
        <w:tc>
          <w:tcPr>
            <w:tcW w:type="dxa" w:w="3600"/>
            <w:tcMar>
              <w:top w:type="dxa" w:w="70"/>
              <w:left w:type="dxa" w:w="100"/>
              <w:bottom w:type="dxa" w:w="70"/>
              <w:right w:type="dxa" w:w="100"/>
            </w:tcMar>
          </w:tcPr>
          <w:p>
            <w:r>
              <w:rPr>
                <w:b w:val="false"/>
                <w:bCs w:val="false"/>
                <w:sz w:val="20"/>
                <w:szCs w:val="20"/>
              </w:rPr>
              <w:t xml:space="preserve">Strong</w:t>
            </w:r>
          </w:p>
        </w:tc>
        <w:tc>
          <w:tcPr>
            <w:tcW w:type="dxa" w:w="2200"/>
            <w:tcMar>
              <w:top w:type="dxa" w:w="70"/>
              <w:left w:type="dxa" w:w="100"/>
              <w:bottom w:type="dxa" w:w="70"/>
              <w:right w:type="dxa" w:w="100"/>
            </w:tcMar>
          </w:tcPr>
          <w:p>
            <w:r>
              <w:rPr>
                <w:b w:val="false"/>
                <w:bCs w:val="false"/>
                <w:sz w:val="20"/>
                <w:szCs w:val="20"/>
              </w:rPr>
              <w:t xml:space="preserve">380</w:t>
            </w:r>
          </w:p>
        </w:tc>
        <w:tc>
          <w:tcPr>
            <w:tcW w:type="dxa" w:w="2200"/>
            <w:tcMar>
              <w:top w:type="dxa" w:w="70"/>
              <w:left w:type="dxa" w:w="100"/>
              <w:bottom w:type="dxa" w:w="70"/>
              <w:right w:type="dxa" w:w="100"/>
            </w:tcMar>
          </w:tcPr>
          <w:p>
            <w:r>
              <w:rPr>
                <w:b w:val="false"/>
                <w:bCs w:val="false"/>
                <w:sz w:val="20"/>
                <w:szCs w:val="20"/>
              </w:rPr>
              <w:t xml:space="preserve">63</w:t>
            </w:r>
          </w:p>
        </w:tc>
        <w:tc>
          <w:tcPr>
            <w:tcW w:type="dxa" w:w="2000"/>
            <w:tcMar>
              <w:top w:type="dxa" w:w="70"/>
              <w:left w:type="dxa" w:w="100"/>
              <w:bottom w:type="dxa" w:w="70"/>
              <w:right w:type="dxa" w:w="100"/>
            </w:tcMar>
          </w:tcPr>
          <w:p>
            <w:r>
              <w:rPr>
                <w:b w:val="false"/>
                <w:bCs w:val="false"/>
                <w:sz w:val="20"/>
                <w:szCs w:val="20"/>
              </w:rPr>
              <w:t xml:space="preserve">16.58%</w:t>
            </w:r>
          </w:p>
        </w:tc>
      </w:tr>
    </w:tbl>
    <w:p>
      <w:pPr>
        <w:spacing w:after="160" w:line="300"/>
      </w:pPr>
      <w:r>
        <w:t xml:space="preserve"/>
      </w:r>
    </w:p>
    <w:p>
      <w:pPr>
        <w:spacing w:after="160" w:line="300"/>
      </w:pPr>
      <w:r>
        <w:t xml:space="preserve">Weak-retention customers churn at nearly double the rate of Moderate/Strong customers, though Moderate and Strong show similar churn — indicating the biggest gain comes from lifting customers out of the Weak bucket rather than chasing further gains among already-strong relationships. The Strong bucket is also small (380 customers), so its estimate should be read with wider uncertainty.</w:t>
      </w:r>
    </w:p>
    <w:p>
      <w:pPr>
        <w:pStyle w:val="Heading2"/>
        <w:spacing w:after="120" w:before="240"/>
      </w:pPr>
      <w:r>
        <w:t xml:space="preserve">3.7 Demographic and Product-Ownership Context</w:t>
      </w:r>
    </w:p>
    <w:p>
      <w:pPr>
        <w:spacing w:after="160" w:line="300"/>
      </w:pPr>
      <w:r>
        <w:t xml:space="preserve">While the analysis centers on behavior, several demographic and contextual variables provide useful segmentation: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100"/>
        <w:gridCol w:w="2400"/>
      </w:tblGrid>
      <w:tr>
        <w:trPr>
          <w:tblHeader/>
        </w:trPr>
        <w:tc>
          <w:tcPr>
            <w:tcW w:type="dxa" w:w="2400"/>
            <w:shd w:fill="00ADB5" w:color="auto" w:val="clear"/>
            <w:tcMar>
              <w:top w:type="dxa" w:w="80"/>
              <w:left w:type="dxa" w:w="100"/>
              <w:bottom w:type="dxa" w:w="80"/>
              <w:right w:type="dxa" w:w="100"/>
            </w:tcMar>
          </w:tcPr>
          <w:p>
            <w:r>
              <w:rPr>
                <w:b/>
                <w:bCs/>
                <w:color w:val="FFFFFF"/>
                <w:sz w:val="20"/>
                <w:szCs w:val="20"/>
              </w:rPr>
              <w:t xml:space="preserve">Dimension</w:t>
            </w:r>
          </w:p>
        </w:tc>
        <w:tc>
          <w:tcPr>
            <w:tcW w:type="dxa" w:w="2600"/>
            <w:shd w:fill="00ADB5" w:color="auto" w:val="clear"/>
            <w:tcMar>
              <w:top w:type="dxa" w:w="80"/>
              <w:left w:type="dxa" w:w="100"/>
              <w:bottom w:type="dxa" w:w="80"/>
              <w:right w:type="dxa" w:w="100"/>
            </w:tcMar>
          </w:tcPr>
          <w:p>
            <w:r>
              <w:rPr>
                <w:b/>
                <w:bCs/>
                <w:color w:val="FFFFFF"/>
                <w:sz w:val="20"/>
                <w:szCs w:val="20"/>
              </w:rPr>
              <w:t xml:space="preserve">Segment</w:t>
            </w:r>
          </w:p>
        </w:tc>
        <w:tc>
          <w:tcPr>
            <w:tcW w:type="dxa" w:w="2100"/>
            <w:shd w:fill="00ADB5" w:color="auto" w:val="clear"/>
            <w:tcMar>
              <w:top w:type="dxa" w:w="80"/>
              <w:left w:type="dxa" w:w="100"/>
              <w:bottom w:type="dxa" w:w="80"/>
              <w:right w:type="dxa" w:w="100"/>
            </w:tcMar>
          </w:tcPr>
          <w:p>
            <w:r>
              <w:rPr>
                <w:b/>
                <w:bCs/>
                <w:color w:val="FFFFFF"/>
                <w:sz w:val="20"/>
                <w:szCs w:val="20"/>
              </w:rPr>
              <w:t xml:space="preserve">Customers</w:t>
            </w:r>
          </w:p>
        </w:tc>
        <w:tc>
          <w:tcPr>
            <w:tcW w:type="dxa" w:w="2400"/>
            <w:shd w:fill="00ADB5" w:color="auto" w:val="clear"/>
            <w:tcMar>
              <w:top w:type="dxa" w:w="80"/>
              <w:left w:type="dxa" w:w="100"/>
              <w:bottom w:type="dxa" w:w="80"/>
              <w:right w:type="dxa" w:w="100"/>
            </w:tcMar>
          </w:tcPr>
          <w:p>
            <w:r>
              <w:rPr>
                <w:b/>
                <w:bCs/>
                <w:color w:val="FFFFFF"/>
                <w:sz w:val="20"/>
                <w:szCs w:val="20"/>
              </w:rPr>
              <w:t xml:space="preserve">Churn Rate</w:t>
            </w:r>
          </w:p>
        </w:tc>
      </w:tr>
      <w:tr>
        <w:tc>
          <w:tcPr>
            <w:tcW w:type="dxa" w:w="2400"/>
            <w:tcMar>
              <w:top w:type="dxa" w:w="70"/>
              <w:left w:type="dxa" w:w="100"/>
              <w:bottom w:type="dxa" w:w="70"/>
              <w:right w:type="dxa" w:w="100"/>
            </w:tcMar>
          </w:tcPr>
          <w:p>
            <w:r>
              <w:rPr>
                <w:b w:val="false"/>
                <w:bCs w:val="false"/>
                <w:sz w:val="20"/>
                <w:szCs w:val="20"/>
              </w:rPr>
              <w:t xml:space="preserve">Geography</w:t>
            </w:r>
          </w:p>
        </w:tc>
        <w:tc>
          <w:tcPr>
            <w:tcW w:type="dxa" w:w="2600"/>
            <w:tcMar>
              <w:top w:type="dxa" w:w="70"/>
              <w:left w:type="dxa" w:w="100"/>
              <w:bottom w:type="dxa" w:w="70"/>
              <w:right w:type="dxa" w:w="100"/>
            </w:tcMar>
          </w:tcPr>
          <w:p>
            <w:r>
              <w:rPr>
                <w:b w:val="false"/>
                <w:bCs w:val="false"/>
                <w:sz w:val="20"/>
                <w:szCs w:val="20"/>
              </w:rPr>
              <w:t xml:space="preserve">France</w:t>
            </w:r>
          </w:p>
        </w:tc>
        <w:tc>
          <w:tcPr>
            <w:tcW w:type="dxa" w:w="2100"/>
            <w:tcMar>
              <w:top w:type="dxa" w:w="70"/>
              <w:left w:type="dxa" w:w="100"/>
              <w:bottom w:type="dxa" w:w="70"/>
              <w:right w:type="dxa" w:w="100"/>
            </w:tcMar>
          </w:tcPr>
          <w:p>
            <w:r>
              <w:rPr>
                <w:b w:val="false"/>
                <w:bCs w:val="false"/>
                <w:sz w:val="20"/>
                <w:szCs w:val="20"/>
              </w:rPr>
              <w:t xml:space="preserve">5,014</w:t>
            </w:r>
          </w:p>
        </w:tc>
        <w:tc>
          <w:tcPr>
            <w:tcW w:type="dxa" w:w="2400"/>
            <w:tcMar>
              <w:top w:type="dxa" w:w="70"/>
              <w:left w:type="dxa" w:w="100"/>
              <w:bottom w:type="dxa" w:w="70"/>
              <w:right w:type="dxa" w:w="100"/>
            </w:tcMar>
          </w:tcPr>
          <w:p>
            <w:r>
              <w:rPr>
                <w:b w:val="false"/>
                <w:bCs w:val="false"/>
                <w:sz w:val="20"/>
                <w:szCs w:val="20"/>
              </w:rPr>
              <w:t xml:space="preserve">16.15%</w:t>
            </w:r>
          </w:p>
        </w:tc>
      </w:tr>
      <w:tr>
        <w:tc>
          <w:tcPr>
            <w:tcW w:type="dxa" w:w="2400"/>
            <w:shd w:fill="E8F7F8" w:color="auto" w:val="clear"/>
            <w:tcMar>
              <w:top w:type="dxa" w:w="70"/>
              <w:left w:type="dxa" w:w="100"/>
              <w:bottom w:type="dxa" w:w="70"/>
              <w:right w:type="dxa" w:w="100"/>
            </w:tcMar>
          </w:tcPr>
          <w:p>
            <w:r>
              <w:rPr>
                <w:b w:val="false"/>
                <w:bCs w:val="false"/>
                <w:sz w:val="20"/>
                <w:szCs w:val="20"/>
              </w:rPr>
              <w:t xml:space="preserve">Geography</w:t>
            </w:r>
          </w:p>
        </w:tc>
        <w:tc>
          <w:tcPr>
            <w:tcW w:type="dxa" w:w="2600"/>
            <w:shd w:fill="E8F7F8" w:color="auto" w:val="clear"/>
            <w:tcMar>
              <w:top w:type="dxa" w:w="70"/>
              <w:left w:type="dxa" w:w="100"/>
              <w:bottom w:type="dxa" w:w="70"/>
              <w:right w:type="dxa" w:w="100"/>
            </w:tcMar>
          </w:tcPr>
          <w:p>
            <w:r>
              <w:rPr>
                <w:b w:val="false"/>
                <w:bCs w:val="false"/>
                <w:sz w:val="20"/>
                <w:szCs w:val="20"/>
              </w:rPr>
              <w:t xml:space="preserve">Germany</w:t>
            </w:r>
          </w:p>
        </w:tc>
        <w:tc>
          <w:tcPr>
            <w:tcW w:type="dxa" w:w="2100"/>
            <w:shd w:fill="E8F7F8" w:color="auto" w:val="clear"/>
            <w:tcMar>
              <w:top w:type="dxa" w:w="70"/>
              <w:left w:type="dxa" w:w="100"/>
              <w:bottom w:type="dxa" w:w="70"/>
              <w:right w:type="dxa" w:w="100"/>
            </w:tcMar>
          </w:tcPr>
          <w:p>
            <w:r>
              <w:rPr>
                <w:b w:val="false"/>
                <w:bCs w:val="false"/>
                <w:sz w:val="20"/>
                <w:szCs w:val="20"/>
              </w:rPr>
              <w:t xml:space="preserve">2,509</w:t>
            </w:r>
          </w:p>
        </w:tc>
        <w:tc>
          <w:tcPr>
            <w:tcW w:type="dxa" w:w="2400"/>
            <w:shd w:fill="E8F7F8" w:color="auto" w:val="clear"/>
            <w:tcMar>
              <w:top w:type="dxa" w:w="70"/>
              <w:left w:type="dxa" w:w="100"/>
              <w:bottom w:type="dxa" w:w="70"/>
              <w:right w:type="dxa" w:w="100"/>
            </w:tcMar>
          </w:tcPr>
          <w:p>
            <w:r>
              <w:rPr>
                <w:b w:val="false"/>
                <w:bCs w:val="false"/>
                <w:sz w:val="20"/>
                <w:szCs w:val="20"/>
              </w:rPr>
              <w:t xml:space="preserve">32.44%</w:t>
            </w:r>
          </w:p>
        </w:tc>
      </w:tr>
      <w:tr>
        <w:tc>
          <w:tcPr>
            <w:tcW w:type="dxa" w:w="2400"/>
            <w:tcMar>
              <w:top w:type="dxa" w:w="70"/>
              <w:left w:type="dxa" w:w="100"/>
              <w:bottom w:type="dxa" w:w="70"/>
              <w:right w:type="dxa" w:w="100"/>
            </w:tcMar>
          </w:tcPr>
          <w:p>
            <w:r>
              <w:rPr>
                <w:b w:val="false"/>
                <w:bCs w:val="false"/>
                <w:sz w:val="20"/>
                <w:szCs w:val="20"/>
              </w:rPr>
              <w:t xml:space="preserve">Geography</w:t>
            </w:r>
          </w:p>
        </w:tc>
        <w:tc>
          <w:tcPr>
            <w:tcW w:type="dxa" w:w="2600"/>
            <w:tcMar>
              <w:top w:type="dxa" w:w="70"/>
              <w:left w:type="dxa" w:w="100"/>
              <w:bottom w:type="dxa" w:w="70"/>
              <w:right w:type="dxa" w:w="100"/>
            </w:tcMar>
          </w:tcPr>
          <w:p>
            <w:r>
              <w:rPr>
                <w:b w:val="false"/>
                <w:bCs w:val="false"/>
                <w:sz w:val="20"/>
                <w:szCs w:val="20"/>
              </w:rPr>
              <w:t xml:space="preserve">Spain</w:t>
            </w:r>
          </w:p>
        </w:tc>
        <w:tc>
          <w:tcPr>
            <w:tcW w:type="dxa" w:w="2100"/>
            <w:tcMar>
              <w:top w:type="dxa" w:w="70"/>
              <w:left w:type="dxa" w:w="100"/>
              <w:bottom w:type="dxa" w:w="70"/>
              <w:right w:type="dxa" w:w="100"/>
            </w:tcMar>
          </w:tcPr>
          <w:p>
            <w:r>
              <w:rPr>
                <w:b w:val="false"/>
                <w:bCs w:val="false"/>
                <w:sz w:val="20"/>
                <w:szCs w:val="20"/>
              </w:rPr>
              <w:t xml:space="preserve">2,477</w:t>
            </w:r>
          </w:p>
        </w:tc>
        <w:tc>
          <w:tcPr>
            <w:tcW w:type="dxa" w:w="2400"/>
            <w:tcMar>
              <w:top w:type="dxa" w:w="70"/>
              <w:left w:type="dxa" w:w="100"/>
              <w:bottom w:type="dxa" w:w="70"/>
              <w:right w:type="dxa" w:w="100"/>
            </w:tcMar>
          </w:tcPr>
          <w:p>
            <w:r>
              <w:rPr>
                <w:b w:val="false"/>
                <w:bCs w:val="false"/>
                <w:sz w:val="20"/>
                <w:szCs w:val="20"/>
              </w:rPr>
              <w:t xml:space="preserve">16.67%</w:t>
            </w:r>
          </w:p>
        </w:tc>
      </w:tr>
      <w:tr>
        <w:tc>
          <w:tcPr>
            <w:tcW w:type="dxa" w:w="2400"/>
            <w:shd w:fill="E8F7F8" w:color="auto" w:val="clear"/>
            <w:tcMar>
              <w:top w:type="dxa" w:w="70"/>
              <w:left w:type="dxa" w:w="100"/>
              <w:bottom w:type="dxa" w:w="70"/>
              <w:right w:type="dxa" w:w="100"/>
            </w:tcMar>
          </w:tcPr>
          <w:p>
            <w:r>
              <w:rPr>
                <w:b w:val="false"/>
                <w:bCs w:val="false"/>
                <w:sz w:val="20"/>
                <w:szCs w:val="20"/>
              </w:rPr>
              <w:t xml:space="preserve">Gender</w:t>
            </w:r>
          </w:p>
        </w:tc>
        <w:tc>
          <w:tcPr>
            <w:tcW w:type="dxa" w:w="2600"/>
            <w:shd w:fill="E8F7F8" w:color="auto" w:val="clear"/>
            <w:tcMar>
              <w:top w:type="dxa" w:w="70"/>
              <w:left w:type="dxa" w:w="100"/>
              <w:bottom w:type="dxa" w:w="70"/>
              <w:right w:type="dxa" w:w="100"/>
            </w:tcMar>
          </w:tcPr>
          <w:p>
            <w:r>
              <w:rPr>
                <w:b w:val="false"/>
                <w:bCs w:val="false"/>
                <w:sz w:val="20"/>
                <w:szCs w:val="20"/>
              </w:rPr>
              <w:t xml:space="preserve">Male</w:t>
            </w:r>
          </w:p>
        </w:tc>
        <w:tc>
          <w:tcPr>
            <w:tcW w:type="dxa" w:w="2100"/>
            <w:shd w:fill="E8F7F8" w:color="auto" w:val="clear"/>
            <w:tcMar>
              <w:top w:type="dxa" w:w="70"/>
              <w:left w:type="dxa" w:w="100"/>
              <w:bottom w:type="dxa" w:w="70"/>
              <w:right w:type="dxa" w:w="100"/>
            </w:tcMar>
          </w:tcPr>
          <w:p>
            <w:r>
              <w:rPr>
                <w:b w:val="false"/>
                <w:bCs w:val="false"/>
                <w:sz w:val="20"/>
                <w:szCs w:val="20"/>
              </w:rPr>
              <w:t xml:space="preserve">5,457</w:t>
            </w:r>
          </w:p>
        </w:tc>
        <w:tc>
          <w:tcPr>
            <w:tcW w:type="dxa" w:w="2400"/>
            <w:shd w:fill="E8F7F8" w:color="auto" w:val="clear"/>
            <w:tcMar>
              <w:top w:type="dxa" w:w="70"/>
              <w:left w:type="dxa" w:w="100"/>
              <w:bottom w:type="dxa" w:w="70"/>
              <w:right w:type="dxa" w:w="100"/>
            </w:tcMar>
          </w:tcPr>
          <w:p>
            <w:r>
              <w:rPr>
                <w:b w:val="false"/>
                <w:bCs w:val="false"/>
                <w:sz w:val="20"/>
                <w:szCs w:val="20"/>
              </w:rPr>
              <w:t xml:space="preserve">16.46%</w:t>
            </w:r>
          </w:p>
        </w:tc>
      </w:tr>
      <w:tr>
        <w:tc>
          <w:tcPr>
            <w:tcW w:type="dxa" w:w="2400"/>
            <w:tcMar>
              <w:top w:type="dxa" w:w="70"/>
              <w:left w:type="dxa" w:w="100"/>
              <w:bottom w:type="dxa" w:w="70"/>
              <w:right w:type="dxa" w:w="100"/>
            </w:tcMar>
          </w:tcPr>
          <w:p>
            <w:r>
              <w:rPr>
                <w:b w:val="false"/>
                <w:bCs w:val="false"/>
                <w:sz w:val="20"/>
                <w:szCs w:val="20"/>
              </w:rPr>
              <w:t xml:space="preserve">Gender</w:t>
            </w:r>
          </w:p>
        </w:tc>
        <w:tc>
          <w:tcPr>
            <w:tcW w:type="dxa" w:w="2600"/>
            <w:tcMar>
              <w:top w:type="dxa" w:w="70"/>
              <w:left w:type="dxa" w:w="100"/>
              <w:bottom w:type="dxa" w:w="70"/>
              <w:right w:type="dxa" w:w="100"/>
            </w:tcMar>
          </w:tcPr>
          <w:p>
            <w:r>
              <w:rPr>
                <w:b w:val="false"/>
                <w:bCs w:val="false"/>
                <w:sz w:val="20"/>
                <w:szCs w:val="20"/>
              </w:rPr>
              <w:t xml:space="preserve">Female</w:t>
            </w:r>
          </w:p>
        </w:tc>
        <w:tc>
          <w:tcPr>
            <w:tcW w:type="dxa" w:w="2100"/>
            <w:tcMar>
              <w:top w:type="dxa" w:w="70"/>
              <w:left w:type="dxa" w:w="100"/>
              <w:bottom w:type="dxa" w:w="70"/>
              <w:right w:type="dxa" w:w="100"/>
            </w:tcMar>
          </w:tcPr>
          <w:p>
            <w:r>
              <w:rPr>
                <w:b w:val="false"/>
                <w:bCs w:val="false"/>
                <w:sz w:val="20"/>
                <w:szCs w:val="20"/>
              </w:rPr>
              <w:t xml:space="preserve">4,543</w:t>
            </w:r>
          </w:p>
        </w:tc>
        <w:tc>
          <w:tcPr>
            <w:tcW w:type="dxa" w:w="2400"/>
            <w:tcMar>
              <w:top w:type="dxa" w:w="70"/>
              <w:left w:type="dxa" w:w="100"/>
              <w:bottom w:type="dxa" w:w="70"/>
              <w:right w:type="dxa" w:w="100"/>
            </w:tcMar>
          </w:tcPr>
          <w:p>
            <w:r>
              <w:rPr>
                <w:b w:val="false"/>
                <w:bCs w:val="false"/>
                <w:sz w:val="20"/>
                <w:szCs w:val="20"/>
              </w:rPr>
              <w:t xml:space="preserve">25.07%</w:t>
            </w:r>
          </w:p>
        </w:tc>
      </w:tr>
      <w:tr>
        <w:tc>
          <w:tcPr>
            <w:tcW w:type="dxa" w:w="2400"/>
            <w:shd w:fill="E8F7F8" w:color="auto" w:val="clear"/>
            <w:tcMar>
              <w:top w:type="dxa" w:w="70"/>
              <w:left w:type="dxa" w:w="100"/>
              <w:bottom w:type="dxa" w:w="70"/>
              <w:right w:type="dxa" w:w="100"/>
            </w:tcMar>
          </w:tcPr>
          <w:p>
            <w:r>
              <w:rPr>
                <w:b w:val="false"/>
                <w:bCs w:val="false"/>
                <w:sz w:val="20"/>
                <w:szCs w:val="20"/>
              </w:rPr>
              <w:t xml:space="preserve">Credit Card</w:t>
            </w:r>
          </w:p>
        </w:tc>
        <w:tc>
          <w:tcPr>
            <w:tcW w:type="dxa" w:w="2600"/>
            <w:shd w:fill="E8F7F8" w:color="auto" w:val="clear"/>
            <w:tcMar>
              <w:top w:type="dxa" w:w="70"/>
              <w:left w:type="dxa" w:w="100"/>
              <w:bottom w:type="dxa" w:w="70"/>
              <w:right w:type="dxa" w:w="100"/>
            </w:tcMar>
          </w:tcPr>
          <w:p>
            <w:r>
              <w:rPr>
                <w:b w:val="false"/>
                <w:bCs w:val="false"/>
                <w:sz w:val="20"/>
                <w:szCs w:val="20"/>
              </w:rPr>
              <w:t xml:space="preserve">Has card</w:t>
            </w:r>
          </w:p>
        </w:tc>
        <w:tc>
          <w:tcPr>
            <w:tcW w:type="dxa" w:w="2100"/>
            <w:shd w:fill="E8F7F8" w:color="auto" w:val="clear"/>
            <w:tcMar>
              <w:top w:type="dxa" w:w="70"/>
              <w:left w:type="dxa" w:w="100"/>
              <w:bottom w:type="dxa" w:w="70"/>
              <w:right w:type="dxa" w:w="100"/>
            </w:tcMar>
          </w:tcPr>
          <w:p>
            <w:r>
              <w:rPr>
                <w:b w:val="false"/>
                <w:bCs w:val="false"/>
                <w:sz w:val="20"/>
                <w:szCs w:val="20"/>
              </w:rPr>
              <w:t xml:space="preserve">7,055</w:t>
            </w:r>
          </w:p>
        </w:tc>
        <w:tc>
          <w:tcPr>
            <w:tcW w:type="dxa" w:w="2400"/>
            <w:shd w:fill="E8F7F8" w:color="auto" w:val="clear"/>
            <w:tcMar>
              <w:top w:type="dxa" w:w="70"/>
              <w:left w:type="dxa" w:w="100"/>
              <w:bottom w:type="dxa" w:w="70"/>
              <w:right w:type="dxa" w:w="100"/>
            </w:tcMar>
          </w:tcPr>
          <w:p>
            <w:r>
              <w:rPr>
                <w:b w:val="false"/>
                <w:bCs w:val="false"/>
                <w:sz w:val="20"/>
                <w:szCs w:val="20"/>
              </w:rPr>
              <w:t xml:space="preserve">20.18%</w:t>
            </w:r>
          </w:p>
        </w:tc>
      </w:tr>
      <w:tr>
        <w:tc>
          <w:tcPr>
            <w:tcW w:type="dxa" w:w="2400"/>
            <w:tcMar>
              <w:top w:type="dxa" w:w="70"/>
              <w:left w:type="dxa" w:w="100"/>
              <w:bottom w:type="dxa" w:w="70"/>
              <w:right w:type="dxa" w:w="100"/>
            </w:tcMar>
          </w:tcPr>
          <w:p>
            <w:r>
              <w:rPr>
                <w:b w:val="false"/>
                <w:bCs w:val="false"/>
                <w:sz w:val="20"/>
                <w:szCs w:val="20"/>
              </w:rPr>
              <w:t xml:space="preserve">Credit Card</w:t>
            </w:r>
          </w:p>
        </w:tc>
        <w:tc>
          <w:tcPr>
            <w:tcW w:type="dxa" w:w="2600"/>
            <w:tcMar>
              <w:top w:type="dxa" w:w="70"/>
              <w:left w:type="dxa" w:w="100"/>
              <w:bottom w:type="dxa" w:w="70"/>
              <w:right w:type="dxa" w:w="100"/>
            </w:tcMar>
          </w:tcPr>
          <w:p>
            <w:r>
              <w:rPr>
                <w:b w:val="false"/>
                <w:bCs w:val="false"/>
                <w:sz w:val="20"/>
                <w:szCs w:val="20"/>
              </w:rPr>
              <w:t xml:space="preserve">No card</w:t>
            </w:r>
          </w:p>
        </w:tc>
        <w:tc>
          <w:tcPr>
            <w:tcW w:type="dxa" w:w="2100"/>
            <w:tcMar>
              <w:top w:type="dxa" w:w="70"/>
              <w:left w:type="dxa" w:w="100"/>
              <w:bottom w:type="dxa" w:w="70"/>
              <w:right w:type="dxa" w:w="100"/>
            </w:tcMar>
          </w:tcPr>
          <w:p>
            <w:r>
              <w:rPr>
                <w:b w:val="false"/>
                <w:bCs w:val="false"/>
                <w:sz w:val="20"/>
                <w:szCs w:val="20"/>
              </w:rPr>
              <w:t xml:space="preserve">2,945</w:t>
            </w:r>
          </w:p>
        </w:tc>
        <w:tc>
          <w:tcPr>
            <w:tcW w:type="dxa" w:w="2400"/>
            <w:tcMar>
              <w:top w:type="dxa" w:w="70"/>
              <w:left w:type="dxa" w:w="100"/>
              <w:bottom w:type="dxa" w:w="70"/>
              <w:right w:type="dxa" w:w="100"/>
            </w:tcMar>
          </w:tcPr>
          <w:p>
            <w:r>
              <w:rPr>
                <w:b w:val="false"/>
                <w:bCs w:val="false"/>
                <w:sz w:val="20"/>
                <w:szCs w:val="20"/>
              </w:rPr>
              <w:t xml:space="preserve">20.81%</w:t>
            </w:r>
          </w:p>
        </w:tc>
      </w:tr>
    </w:tbl>
    <w:p>
      <w:pPr>
        <w:spacing w:after="160" w:line="300"/>
      </w:pPr>
      <w:r>
        <w:t xml:space="preserve"/>
      </w:r>
    </w:p>
    <w:p>
      <w:pPr>
        <w:pStyle w:val="ListParagraph"/>
        <w:numPr>
          <w:ilvl w:val="0"/>
          <w:numId w:val="1"/>
        </w:numPr>
        <w:spacing w:after="80"/>
      </w:pPr>
      <w:r>
        <w:t xml:space="preserve">Germany churns at roughly double the rate of France and Spain, despite similar product and balance patterns elsewhere in the data — worth a market-specific review (pricing, competition, service model).</w:t>
      </w:r>
    </w:p>
    <w:p>
      <w:pPr>
        <w:pStyle w:val="ListParagraph"/>
        <w:numPr>
          <w:ilvl w:val="0"/>
          <w:numId w:val="1"/>
        </w:numPr>
        <w:spacing w:after="80"/>
      </w:pPr>
      <w:r>
        <w:t xml:space="preserve">Female customers churn at a meaningfully higher rate than male customers (25.1% vs 16.5%), a gap worth investigating for product fit or service-experience differences.</w:t>
      </w:r>
    </w:p>
    <w:p>
      <w:pPr>
        <w:pStyle w:val="ListParagraph"/>
        <w:numPr>
          <w:ilvl w:val="0"/>
          <w:numId w:val="1"/>
        </w:numPr>
        <w:spacing w:after="80"/>
      </w:pPr>
      <w:r>
        <w:t xml:space="preserve">Credit card ownership shows almost no relationship to churn (20.2% vs 20.8%) and tenure shows a flat 17–23% churn rate across all years of relationship — neither is a useful retention lever on its own.</w:t>
      </w:r>
    </w:p>
    <w:p>
      <w:pPr>
        <w:pStyle w:val="Heading1"/>
        <w:spacing w:after="160" w:before="320"/>
      </w:pPr>
      <w:r>
        <w:t xml:space="preserve">4. Key Insights</w:t>
      </w:r>
    </w:p>
    <w:p>
      <w:pPr>
        <w:pStyle w:val="ListParagraph"/>
        <w:numPr>
          <w:ilvl w:val="0"/>
          <w:numId w:val="1"/>
        </w:numPr>
        <w:spacing w:after="80"/>
      </w:pPr>
      <w:r>
        <w:t xml:space="preserve">Engagement, not tenure or demographics, is the dominant churn driver. The Low-to-Medium engagement transition alone closes 19 of the available 27 percentage points of churn reduction.</w:t>
      </w:r>
    </w:p>
    <w:p>
      <w:pPr>
        <w:pStyle w:val="ListParagraph"/>
        <w:numPr>
          <w:ilvl w:val="0"/>
          <w:numId w:val="1"/>
        </w:numPr>
        <w:spacing w:after="80"/>
      </w:pPr>
      <w:r>
        <w:t xml:space="preserve">Two products is the retention sweet spot; one product under-serves customers, and 3–4 products correlate with near-total churn in a small, likely special-cause segment that needs root-cause review rather than a blanket cross-sell push.</w:t>
      </w:r>
    </w:p>
    <w:p>
      <w:pPr>
        <w:pStyle w:val="ListParagraph"/>
        <w:numPr>
          <w:ilvl w:val="0"/>
          <w:numId w:val="1"/>
        </w:numPr>
        <w:spacing w:after="80"/>
      </w:pPr>
      <w:r>
        <w:t xml:space="preserve">High-balance, inactive customers are the most financially significant risk pool — high value and elevated churn probability (32.3%) at the same time.</w:t>
      </w:r>
    </w:p>
    <w:p>
      <w:pPr>
        <w:pStyle w:val="ListParagraph"/>
        <w:numPr>
          <w:ilvl w:val="0"/>
          <w:numId w:val="1"/>
        </w:numPr>
        <w:spacing w:after="80"/>
      </w:pPr>
      <w:r>
        <w:t xml:space="preserve">Half of all premium customers (211 of 421) are currently inactive, representing a concentrated pool of at-risk, high-value relationships.</w:t>
      </w:r>
    </w:p>
    <w:p>
      <w:pPr>
        <w:pStyle w:val="ListParagraph"/>
        <w:numPr>
          <w:ilvl w:val="0"/>
          <w:numId w:val="1"/>
        </w:numPr>
        <w:spacing w:after="80"/>
      </w:pPr>
      <w:r>
        <w:t xml:space="preserve">Germany and the female customer segment both show materially elevated churn versus their respective baselines, independent of the engagement effect.</w:t>
      </w:r>
    </w:p>
    <w:p>
      <w:pPr>
        <w:pStyle w:val="ListParagraph"/>
        <w:numPr>
          <w:ilvl w:val="0"/>
          <w:numId w:val="1"/>
        </w:numPr>
        <w:spacing w:after="80"/>
      </w:pPr>
      <w:r>
        <w:t xml:space="preserve">Credit card ownership and tenure are not meaningful churn levers in this dataset and should be deprioritized relative to engagement- and balance-based interventions.</w:t>
      </w:r>
    </w:p>
    <w:p>
      <w:pPr>
        <w:pStyle w:val="Heading1"/>
        <w:spacing w:after="160" w:before="320"/>
      </w:pPr>
      <w:r>
        <w:t xml:space="preserve">5. Recommendations</w:t>
      </w:r>
    </w:p>
    <w:p>
      <w:pPr>
        <w:pStyle w:val="Heading2"/>
        <w:spacing w:after="120" w:before="240"/>
      </w:pPr>
      <w:r>
        <w:t xml:space="preserve">5.1 Make engagement reactivation the primary retention lever</w:t>
      </w:r>
    </w:p>
    <w:p>
      <w:pPr>
        <w:pStyle w:val="ListParagraph"/>
        <w:numPr>
          <w:ilvl w:val="0"/>
          <w:numId w:val="1"/>
        </w:numPr>
        <w:spacing w:after="80"/>
      </w:pPr>
      <w:r>
        <w:t xml:space="preserve">Target inactive customers with the highest balances first — reactivation campaigns (personal outreach, relationship-manager check-ins, tailored offers) should be triggered automatically for high-balance, inactive accounts.</w:t>
      </w:r>
    </w:p>
    <w:p>
      <w:pPr>
        <w:pStyle w:val="ListParagraph"/>
        <w:numPr>
          <w:ilvl w:val="0"/>
          <w:numId w:val="1"/>
        </w:numPr>
        <w:spacing w:after="80"/>
      </w:pPr>
      <w:r>
        <w:t xml:space="preserve">Because the Low→Medium transition captures most of the benefit, campaigns should aim for "one more point of engagement" (e.g., activating a dormant account or adding a second product) rather than chasing maximum engagement immediately.</w:t>
      </w:r>
    </w:p>
    <w:p>
      <w:pPr>
        <w:pStyle w:val="Heading2"/>
        <w:spacing w:after="120" w:before="240"/>
      </w:pPr>
      <w:r>
        <w:t xml:space="preserve">5.2 Promote the two-product relationship as the target state</w:t>
      </w:r>
    </w:p>
    <w:p>
      <w:pPr>
        <w:pStyle w:val="ListParagraph"/>
        <w:numPr>
          <w:ilvl w:val="0"/>
          <w:numId w:val="1"/>
        </w:numPr>
        <w:spacing w:after="80"/>
      </w:pPr>
      <w:r>
        <w:t xml:space="preserve">Design onboarding and mid-life-cycle journeys that guide single-product customers toward a second, well-matched product (e.g., savings-to-card or card-to-loan pairing) rather than open-ended cross-selling.</w:t>
      </w:r>
    </w:p>
    <w:p>
      <w:pPr>
        <w:pStyle w:val="ListParagraph"/>
        <w:numPr>
          <w:ilvl w:val="0"/>
          <w:numId w:val="1"/>
        </w:numPr>
        <w:spacing w:after="80"/>
      </w:pPr>
      <w:r>
        <w:t xml:space="preserve">Investigate the 3–4 product segment specifically before expanding cross-sell — confirm whether these accounts represent forced bundling, failed conversions, or a data-quality issue, since the near-100% churn rate is inconsistent with a genuine loyalty benefit of holding more products.</w:t>
      </w:r>
    </w:p>
    <w:p>
      <w:pPr>
        <w:pStyle w:val="Heading2"/>
        <w:spacing w:after="120" w:before="240"/>
      </w:pPr>
      <w:r>
        <w:t xml:space="preserve">5.3 Prioritize the at-risk premium segment</w:t>
      </w:r>
    </w:p>
    <w:p>
      <w:pPr>
        <w:pStyle w:val="ListParagraph"/>
        <w:numPr>
          <w:ilvl w:val="0"/>
          <w:numId w:val="1"/>
        </w:numPr>
        <w:spacing w:after="80"/>
      </w:pPr>
      <w:r>
        <w:t xml:space="preserve">Build a dedicated outreach track for the 211 at-risk premium customers — high tenure, high balance, high salary, but currently inactive. This is the highest-leverage, lowest-volume intervention available.</w:t>
      </w:r>
    </w:p>
    <w:p>
      <w:pPr>
        <w:pStyle w:val="Heading2"/>
        <w:spacing w:after="120" w:before="240"/>
      </w:pPr>
      <w:r>
        <w:t xml:space="preserve">5.4 Address the salary–balance mismatch segment</w:t>
      </w:r>
    </w:p>
    <w:p>
      <w:pPr>
        <w:pStyle w:val="ListParagraph"/>
        <w:numPr>
          <w:ilvl w:val="0"/>
          <w:numId w:val="1"/>
        </w:numPr>
        <w:spacing w:after="80"/>
      </w:pPr>
      <w:r>
        <w:t xml:space="preserve">For low-salary/high-balance customers (24.9% churn), review whether savings and investment products are competitively priced and clearly communicated — this group may be comparison-shopping elsewhere for their balances.</w:t>
      </w:r>
    </w:p>
    <w:p>
      <w:pPr>
        <w:pStyle w:val="Heading2"/>
        <w:spacing w:after="120" w:before="240"/>
      </w:pPr>
      <w:r>
        <w:t xml:space="preserve">5.5 Investigate Germany and female-customer churn specifically</w:t>
      </w:r>
    </w:p>
    <w:p>
      <w:pPr>
        <w:pStyle w:val="ListParagraph"/>
        <w:numPr>
          <w:ilvl w:val="0"/>
          <w:numId w:val="1"/>
        </w:numPr>
        <w:spacing w:after="80"/>
      </w:pPr>
      <w:r>
        <w:t xml:space="preserve">Commission a market-level review of the German operation (pricing, competitor activity, service quality, regulatory factors) given its roughly 2x churn rate versus France and Spain.</w:t>
      </w:r>
    </w:p>
    <w:p>
      <w:pPr>
        <w:pStyle w:val="ListParagraph"/>
        <w:numPr>
          <w:ilvl w:val="0"/>
          <w:numId w:val="1"/>
        </w:numPr>
        <w:spacing w:after="80"/>
      </w:pPr>
      <w:r>
        <w:t xml:space="preserve">Review product design and service experience for female customers to understand the ~8.6-point churn gap versus male customers.</w:t>
      </w:r>
    </w:p>
    <w:p>
      <w:pPr>
        <w:pStyle w:val="Heading2"/>
        <w:spacing w:after="120" w:before="240"/>
      </w:pPr>
      <w:r>
        <w:t xml:space="preserve">5.6 Deprioritize low-signal levers</w:t>
      </w:r>
    </w:p>
    <w:p>
      <w:pPr>
        <w:pStyle w:val="ListParagraph"/>
        <w:numPr>
          <w:ilvl w:val="0"/>
          <w:numId w:val="1"/>
        </w:numPr>
        <w:spacing w:after="80"/>
      </w:pPr>
      <w:r>
        <w:t xml:space="preserve">Credit card promotions and tenure-based loyalty rewards show little relationship to churn in this data and should not be treated as primary retention tools.</w:t>
      </w:r>
    </w:p>
    <w:p>
      <w:pPr>
        <w:pStyle w:val="Heading1"/>
        <w:spacing w:after="160" w:before="320"/>
      </w:pPr>
      <w:r>
        <w:t xml:space="preserve">6. Conclusion</w:t>
      </w:r>
    </w:p>
    <w:p>
      <w:pPr>
        <w:spacing w:after="160" w:line="300"/>
      </w:pPr>
      <w:r>
        <w:t xml:space="preserve">This project reframes customer churn from a behavioral and relationship-strength perspective. By focusing on engagement and product utilization rather than demographics, it provides actionable insights for retention strategy design, product optimization, and customer loyalty enhancement. The evidence points to a clear, prioritized playbook: reactivate high-balance inactive customers first, guide single-product customers toward a well-matched second product, protect the at-risk premium segment, and treat Germany and the female customer base as distinct areas for deeper investigation. Demographic and static attributes such as tenure and credit card ownership, by contrast, offer little independent predictive or actionable value. A behavior-first retention strategy — anchored in engagement tier, product depth, and balance-activity interaction — offers the bank the clearest path to reducing its 20.4% churn rate.</w:t>
      </w:r>
    </w:p>
    <w:p>
      <w:pPr>
        <w:pStyle w:val="Heading1"/>
        <w:spacing w:after="160" w:before="320"/>
      </w:pPr>
      <w:r>
        <w:t xml:space="preserve">Appendix: Methodology Notes</w:t>
      </w:r>
    </w:p>
    <w:p>
      <w:pPr>
        <w:pStyle w:val="ListParagraph"/>
        <w:numPr>
          <w:ilvl w:val="0"/>
          <w:numId w:val="1"/>
        </w:numPr>
        <w:spacing w:after="80"/>
      </w:pPr>
      <w:r>
        <w:t xml:space="preserve">Analysis performed in Python using pandas and NumPy; churn rates computed as group-level means of the binary Exited indicator (1 = churned).</w:t>
      </w:r>
    </w:p>
    <w:p>
      <w:pPr>
        <w:pStyle w:val="ListParagraph"/>
        <w:numPr>
          <w:ilvl w:val="0"/>
          <w:numId w:val="1"/>
        </w:numPr>
        <w:spacing w:after="80"/>
      </w:pPr>
      <w:r>
        <w:t xml:space="preserve">Balance and salary groups are split at the sample median, not a fixed monetary threshold, so group boundaries are dataset-relative.</w:t>
      </w:r>
    </w:p>
    <w:p>
      <w:pPr>
        <w:pStyle w:val="ListParagraph"/>
        <w:numPr>
          <w:ilvl w:val="0"/>
          <w:numId w:val="1"/>
        </w:numPr>
        <w:spacing w:after="80"/>
      </w:pPr>
      <w:r>
        <w:t xml:space="preserve">An interactive Streamlit dashboard (Engagement vs. Churn, Product Utilization Impact, and High-Value Disengaged Customers modules) accompanies this analysis for ongoing, filterable exploration by business stakeholders.</w:t>
      </w:r>
    </w:p>
    <w:p>
      <w:pPr>
        <w:pStyle w:val="ListParagraph"/>
        <w:numPr>
          <w:ilvl w:val="0"/>
          <w:numId w:val="1"/>
        </w:numPr>
        <w:spacing w:after="80"/>
      </w:pPr>
      <w:r>
        <w:t xml:space="preserve">Segment sizes vary considerably (e.g., 3–4 product holders and the "Strong" retention-strength bucket are small, n &lt; 400); percentages for these groups carry wider uncertainty and are flagged accordingly in the text.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ADB5" w:sz="6" w:space="4"/>
      </w:pBdr>
      <w:spacing w:after="160" w:before="320"/>
    </w:pPr>
    <w:rPr>
      <w:rFonts w:ascii="Calibri" w:cs="Calibri" w:eastAsia="Calibri" w:hAnsi="Calibri"/>
      <w:b/>
      <w:bCs/>
      <w:color w:val="00ADB5"/>
      <w:sz w:val="30"/>
      <w:szCs w:val="30"/>
    </w:rPr>
  </w:style>
  <w:style w:type="paragraph" w:styleId="Heading2">
    <w:name w:val="Heading 2"/>
    <w:basedOn w:val="Normal"/>
    <w:next w:val="Normal"/>
    <w:qFormat/>
    <w:pPr>
      <w:spacing w:after="120" w:before="240"/>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2026-09-15T07:10:41.266Z</dcterms:created>
  <dcterms:modified xsi:type="dcterms:W3CDTF">2026-09-15T07:10:41.276Z</dcterms:modified>
</cp:coreProperties>
</file>

<file path=docProps/custom.xml><?xml version="1.0" encoding="utf-8"?>
<Properties xmlns="http://schemas.openxmlformats.org/officeDocument/2006/custom-properties" xmlns:vt="http://schemas.openxmlformats.org/officeDocument/2006/docPropsVTypes"/>
</file>