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085E" w14:textId="77777777" w:rsidR="001826E9" w:rsidRPr="001826E9" w:rsidRDefault="001826E9" w:rsidP="001826E9">
      <w:pPr>
        <w:pStyle w:val="Heading1"/>
        <w:rPr>
          <w:b/>
          <w:bCs/>
        </w:rPr>
      </w:pPr>
      <w:r w:rsidRPr="001826E9">
        <w:rPr>
          <w:b/>
          <w:bCs/>
        </w:rPr>
        <w:t>ANALYSE STRATÉGIQUE DU TABLEAU DE BORD</w:t>
      </w:r>
    </w:p>
    <w:p w14:paraId="1BABB825" w14:textId="77777777" w:rsidR="001826E9" w:rsidRPr="001826E9" w:rsidRDefault="001826E9" w:rsidP="001D0C92">
      <w:pPr>
        <w:pStyle w:val="Heading1"/>
      </w:pPr>
      <w:r w:rsidRPr="001826E9">
        <w:t>1. Performance Globale de l’Entreprise</w:t>
      </w:r>
    </w:p>
    <w:p w14:paraId="25C42D8C" w14:textId="77777777" w:rsidR="001826E9" w:rsidRPr="001826E9" w:rsidRDefault="001826E9" w:rsidP="001D0C92">
      <w:pPr>
        <w:pStyle w:val="Heading2"/>
      </w:pPr>
      <w:r w:rsidRPr="001826E9">
        <w:t>1.1 Chiffre d’Affaires et Rentabilité</w:t>
      </w:r>
    </w:p>
    <w:p w14:paraId="72141FFC" w14:textId="0783DF7C" w:rsidR="001826E9" w:rsidRPr="001826E9" w:rsidRDefault="001826E9" w:rsidP="001D0C92">
      <w:pPr>
        <w:spacing w:line="360" w:lineRule="auto"/>
        <w:jc w:val="both"/>
        <w:rPr>
          <w:rFonts w:ascii="Times New Roman" w:hAnsi="Times New Roman" w:cs="Times New Roman"/>
          <w:sz w:val="24"/>
          <w:szCs w:val="24"/>
        </w:rPr>
      </w:pPr>
      <w:r w:rsidRPr="001826E9">
        <w:rPr>
          <w:rFonts w:ascii="Times New Roman" w:hAnsi="Times New Roman" w:cs="Times New Roman"/>
          <w:sz w:val="24"/>
          <w:szCs w:val="24"/>
        </w:rPr>
        <w:t>Sur la période étudiée, le chiffre d’affaires cumulé s’élève à plus de 14,78 millions</w:t>
      </w:r>
      <w:r w:rsidR="007F7AD9">
        <w:rPr>
          <w:rFonts w:ascii="Times New Roman" w:hAnsi="Times New Roman" w:cs="Times New Roman"/>
          <w:sz w:val="24"/>
          <w:szCs w:val="24"/>
        </w:rPr>
        <w:t xml:space="preserve"> €</w:t>
      </w:r>
      <w:r w:rsidRPr="001826E9">
        <w:rPr>
          <w:rFonts w:ascii="Times New Roman" w:hAnsi="Times New Roman" w:cs="Times New Roman"/>
          <w:sz w:val="24"/>
          <w:szCs w:val="24"/>
        </w:rPr>
        <w:t xml:space="preserve"> pour une marge totale de 5,94 millions</w:t>
      </w:r>
      <w:r w:rsidR="007F7AD9">
        <w:rPr>
          <w:rFonts w:ascii="Times New Roman" w:hAnsi="Times New Roman" w:cs="Times New Roman"/>
          <w:sz w:val="24"/>
          <w:szCs w:val="24"/>
        </w:rPr>
        <w:t xml:space="preserve"> €</w:t>
      </w:r>
      <w:r w:rsidRPr="001826E9">
        <w:rPr>
          <w:rFonts w:ascii="Times New Roman" w:hAnsi="Times New Roman" w:cs="Times New Roman"/>
          <w:sz w:val="24"/>
          <w:szCs w:val="24"/>
        </w:rPr>
        <w:t>, soit un taux de marge supérieur à 40 %. Avec plus de 524 000 produits vendus, l’entreprise présente une rentabilité solide et un volume d’activité important.</w:t>
      </w:r>
    </w:p>
    <w:p w14:paraId="091BF55F" w14:textId="77777777" w:rsidR="001826E9" w:rsidRPr="001826E9" w:rsidRDefault="001826E9" w:rsidP="001D0C92">
      <w:pPr>
        <w:spacing w:line="360" w:lineRule="auto"/>
        <w:jc w:val="both"/>
        <w:rPr>
          <w:rFonts w:ascii="Times New Roman" w:hAnsi="Times New Roman" w:cs="Times New Roman"/>
          <w:sz w:val="24"/>
          <w:szCs w:val="24"/>
        </w:rPr>
      </w:pPr>
      <w:r w:rsidRPr="001826E9">
        <w:rPr>
          <w:rFonts w:ascii="Times New Roman" w:hAnsi="Times New Roman" w:cs="Times New Roman"/>
          <w:sz w:val="24"/>
          <w:szCs w:val="24"/>
        </w:rPr>
        <w:t>Cependant, l’analyse de la croissance montre un ralentissement progressif : +2,5 % en 2021, suivi de -0,4 % puis -1,0 % en 2023. Cette évolution traduit un affaiblissement de la dynamique commerciale malgré une structure de marge stable.</w:t>
      </w:r>
    </w:p>
    <w:p w14:paraId="10A0E381" w14:textId="3804C788" w:rsidR="001826E9" w:rsidRPr="001826E9" w:rsidRDefault="001826E9" w:rsidP="001826E9">
      <w:pPr>
        <w:spacing w:line="360" w:lineRule="auto"/>
        <w:jc w:val="both"/>
        <w:rPr>
          <w:rFonts w:ascii="Times New Roman" w:hAnsi="Times New Roman" w:cs="Times New Roman"/>
          <w:sz w:val="24"/>
          <w:szCs w:val="24"/>
        </w:rPr>
      </w:pPr>
    </w:p>
    <w:p w14:paraId="074482DD" w14:textId="77777777" w:rsidR="001826E9" w:rsidRPr="001826E9" w:rsidRDefault="001826E9" w:rsidP="001D0C92">
      <w:pPr>
        <w:pStyle w:val="Heading1"/>
      </w:pPr>
      <w:r w:rsidRPr="001826E9">
        <w:t>2. Analyse du Portefeuille Produits</w:t>
      </w:r>
    </w:p>
    <w:p w14:paraId="6A5D1832" w14:textId="77777777" w:rsidR="001826E9" w:rsidRPr="001826E9" w:rsidRDefault="001826E9" w:rsidP="001D0C92">
      <w:pPr>
        <w:pStyle w:val="Heading2"/>
      </w:pPr>
      <w:r w:rsidRPr="001826E9">
        <w:t>2.1 Catégories Dominantes</w:t>
      </w:r>
    </w:p>
    <w:p w14:paraId="1076340C" w14:textId="77777777" w:rsidR="001826E9" w:rsidRPr="001826E9" w:rsidRDefault="001826E9" w:rsidP="001826E9">
      <w:pPr>
        <w:spacing w:line="360" w:lineRule="auto"/>
        <w:jc w:val="both"/>
        <w:rPr>
          <w:rFonts w:ascii="Times New Roman" w:hAnsi="Times New Roman" w:cs="Times New Roman"/>
          <w:sz w:val="24"/>
          <w:szCs w:val="24"/>
        </w:rPr>
      </w:pPr>
      <w:r w:rsidRPr="001826E9">
        <w:rPr>
          <w:rFonts w:ascii="Times New Roman" w:hAnsi="Times New Roman" w:cs="Times New Roman"/>
          <w:sz w:val="24"/>
          <w:szCs w:val="24"/>
        </w:rPr>
        <w:t>Les produits de Prescription représentent la part la plus importante du chiffre d’affaires, suivis des Soins personnels et du Bien-être. Les OTC et les Équipements médicaux complètent la structure des ventes.</w:t>
      </w:r>
    </w:p>
    <w:p w14:paraId="21B769D5" w14:textId="77777777" w:rsidR="001826E9" w:rsidRPr="001826E9" w:rsidRDefault="001826E9" w:rsidP="001826E9">
      <w:pPr>
        <w:spacing w:line="360" w:lineRule="auto"/>
        <w:jc w:val="both"/>
        <w:rPr>
          <w:rFonts w:ascii="Times New Roman" w:hAnsi="Times New Roman" w:cs="Times New Roman"/>
          <w:sz w:val="24"/>
          <w:szCs w:val="24"/>
        </w:rPr>
      </w:pPr>
      <w:r w:rsidRPr="001826E9">
        <w:rPr>
          <w:rFonts w:ascii="Times New Roman" w:hAnsi="Times New Roman" w:cs="Times New Roman"/>
          <w:sz w:val="24"/>
          <w:szCs w:val="24"/>
        </w:rPr>
        <w:t>Cette hiérarchie montre que l’entreprise repose sur une base de produits essentiels et récurrents, avec une forte contribution du segment Bien-être.</w:t>
      </w:r>
    </w:p>
    <w:p w14:paraId="1463D012" w14:textId="77777777" w:rsidR="001826E9" w:rsidRPr="001826E9" w:rsidRDefault="001826E9" w:rsidP="001D0C92">
      <w:pPr>
        <w:pStyle w:val="Heading2"/>
      </w:pPr>
      <w:r w:rsidRPr="001826E9">
        <w:t>2.2 Analyse des Top 10 Produits</w:t>
      </w:r>
    </w:p>
    <w:p w14:paraId="54320526" w14:textId="77777777" w:rsidR="001826E9" w:rsidRDefault="001826E9" w:rsidP="001826E9">
      <w:pPr>
        <w:spacing w:line="360" w:lineRule="auto"/>
        <w:jc w:val="both"/>
        <w:rPr>
          <w:rFonts w:ascii="Times New Roman" w:hAnsi="Times New Roman" w:cs="Times New Roman"/>
          <w:sz w:val="24"/>
          <w:szCs w:val="24"/>
        </w:rPr>
      </w:pPr>
      <w:r w:rsidRPr="001826E9">
        <w:rPr>
          <w:rFonts w:ascii="Times New Roman" w:hAnsi="Times New Roman" w:cs="Times New Roman"/>
          <w:sz w:val="24"/>
          <w:szCs w:val="24"/>
        </w:rPr>
        <w:t>Les produits les plus vendus sont :</w:t>
      </w:r>
    </w:p>
    <w:p w14:paraId="53E03ACE" w14:textId="77777777" w:rsidR="001D0C92" w:rsidRDefault="001D0C92" w:rsidP="001826E9">
      <w:pPr>
        <w:spacing w:line="360" w:lineRule="auto"/>
        <w:jc w:val="both"/>
        <w:rPr>
          <w:rFonts w:ascii="Times New Roman" w:hAnsi="Times New Roman" w:cs="Times New Roman"/>
          <w:sz w:val="24"/>
          <w:szCs w:val="24"/>
        </w:rPr>
      </w:pPr>
    </w:p>
    <w:p w14:paraId="239F9BDE" w14:textId="1BD748F6" w:rsidR="001D0C92" w:rsidRDefault="001D0C92"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-Produit 146</w:t>
      </w:r>
    </w:p>
    <w:p w14:paraId="5AF1F152" w14:textId="5E5614CE" w:rsidR="001D0C92" w:rsidRDefault="001D0C92"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-Produit 53</w:t>
      </w:r>
    </w:p>
    <w:p w14:paraId="0413AF1B" w14:textId="00C69442" w:rsidR="001D0C92" w:rsidRDefault="001D0C92"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-Produit 62</w:t>
      </w:r>
    </w:p>
    <w:p w14:paraId="6CC66706" w14:textId="1E04980F" w:rsidR="001D0C92" w:rsidRDefault="001D0C92"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-Produit 54</w:t>
      </w:r>
    </w:p>
    <w:p w14:paraId="082C3771" w14:textId="38D467FF" w:rsidR="001D0C92" w:rsidRDefault="001D0C92"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-Produit 52</w:t>
      </w:r>
    </w:p>
    <w:p w14:paraId="56608592" w14:textId="0BB0D69F" w:rsidR="001D0C92" w:rsidRDefault="001D0C92"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-Produit 23</w:t>
      </w:r>
    </w:p>
    <w:p w14:paraId="2BC616B9" w14:textId="5C3C159C" w:rsidR="001D0C92" w:rsidRDefault="001D0C92"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-Produit 128</w:t>
      </w:r>
    </w:p>
    <w:p w14:paraId="4BB529B0" w14:textId="566A92B9" w:rsidR="001D0C92" w:rsidRDefault="001D0C92"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-Produit 11</w:t>
      </w:r>
    </w:p>
    <w:p w14:paraId="72D59562" w14:textId="7E7D8401" w:rsidR="001D0C92" w:rsidRDefault="001D0C92"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-Produit 22</w:t>
      </w:r>
    </w:p>
    <w:p w14:paraId="1DFC6F01" w14:textId="126FCCBC" w:rsidR="001826E9" w:rsidRPr="001826E9" w:rsidRDefault="001826E9" w:rsidP="001826E9">
      <w:pPr>
        <w:spacing w:line="360" w:lineRule="auto"/>
        <w:jc w:val="both"/>
        <w:rPr>
          <w:rFonts w:ascii="Times New Roman" w:hAnsi="Times New Roman" w:cs="Times New Roman"/>
          <w:sz w:val="24"/>
          <w:szCs w:val="24"/>
        </w:rPr>
      </w:pPr>
    </w:p>
    <w:p w14:paraId="783B37ED" w14:textId="77777777" w:rsidR="001826E9" w:rsidRPr="001826E9" w:rsidRDefault="001826E9" w:rsidP="001826E9">
      <w:pPr>
        <w:spacing w:line="360" w:lineRule="auto"/>
        <w:jc w:val="both"/>
        <w:rPr>
          <w:rFonts w:ascii="Times New Roman" w:hAnsi="Times New Roman" w:cs="Times New Roman"/>
          <w:sz w:val="24"/>
          <w:szCs w:val="24"/>
        </w:rPr>
      </w:pPr>
      <w:r w:rsidRPr="001826E9">
        <w:rPr>
          <w:rFonts w:ascii="Times New Roman" w:hAnsi="Times New Roman" w:cs="Times New Roman"/>
          <w:sz w:val="24"/>
          <w:szCs w:val="24"/>
        </w:rPr>
        <w:t>La majorité appartient à la catégorie Bien-être, suivie par les Équipements médicaux et les Prescriptions.</w:t>
      </w:r>
    </w:p>
    <w:p w14:paraId="12DD72A4" w14:textId="25F73A65" w:rsidR="001826E9" w:rsidRPr="001826E9" w:rsidRDefault="001826E9" w:rsidP="001826E9">
      <w:pPr>
        <w:spacing w:line="360" w:lineRule="auto"/>
        <w:jc w:val="both"/>
        <w:rPr>
          <w:rFonts w:ascii="Times New Roman" w:hAnsi="Times New Roman" w:cs="Times New Roman"/>
          <w:sz w:val="24"/>
          <w:szCs w:val="24"/>
        </w:rPr>
      </w:pPr>
      <w:r w:rsidRPr="001826E9">
        <w:rPr>
          <w:rFonts w:ascii="Times New Roman" w:hAnsi="Times New Roman" w:cs="Times New Roman"/>
          <w:sz w:val="24"/>
          <w:szCs w:val="24"/>
        </w:rPr>
        <w:t xml:space="preserve">Ces produits génèrent individuellement entre 100 000 et 200 000 </w:t>
      </w:r>
      <w:r w:rsidR="007F7AD9">
        <w:rPr>
          <w:rFonts w:ascii="Times New Roman" w:hAnsi="Times New Roman" w:cs="Times New Roman"/>
          <w:sz w:val="24"/>
          <w:szCs w:val="24"/>
        </w:rPr>
        <w:t xml:space="preserve">€ </w:t>
      </w:r>
      <w:r w:rsidRPr="001826E9">
        <w:rPr>
          <w:rFonts w:ascii="Times New Roman" w:hAnsi="Times New Roman" w:cs="Times New Roman"/>
          <w:sz w:val="24"/>
          <w:szCs w:val="24"/>
        </w:rPr>
        <w:t>de chiffre d’affaires et figurent régulièrement dans le Top 10 des ventes dans plusieurs pays.</w:t>
      </w:r>
    </w:p>
    <w:p w14:paraId="5483B4A6" w14:textId="77777777" w:rsidR="001826E9" w:rsidRPr="001826E9" w:rsidRDefault="001826E9" w:rsidP="001826E9">
      <w:pPr>
        <w:spacing w:line="360" w:lineRule="auto"/>
        <w:jc w:val="both"/>
        <w:rPr>
          <w:rFonts w:ascii="Times New Roman" w:hAnsi="Times New Roman" w:cs="Times New Roman"/>
          <w:sz w:val="24"/>
          <w:szCs w:val="24"/>
        </w:rPr>
      </w:pPr>
      <w:r w:rsidRPr="001826E9">
        <w:rPr>
          <w:rFonts w:ascii="Times New Roman" w:hAnsi="Times New Roman" w:cs="Times New Roman"/>
          <w:sz w:val="24"/>
          <w:szCs w:val="24"/>
        </w:rPr>
        <w:t>Or, plusieurs d’entre eux (notamment 146, 53, 62, 11, 22) ont été arrêtés alors qu’ils constituaient des moteurs de performance. Au total, 82 produits arrêtés ont représenté 57 % du chiffre d’affaires, contre 43 % pour les produits actifs. Cette décision a mécaniquement contribué au ralentissement observé de la croissance.</w:t>
      </w:r>
    </w:p>
    <w:p w14:paraId="5BB6318C" w14:textId="2A677F0E" w:rsidR="001826E9" w:rsidRPr="001826E9" w:rsidRDefault="001826E9" w:rsidP="001826E9">
      <w:pPr>
        <w:spacing w:line="360" w:lineRule="auto"/>
        <w:jc w:val="both"/>
        <w:rPr>
          <w:rFonts w:ascii="Times New Roman" w:hAnsi="Times New Roman" w:cs="Times New Roman"/>
          <w:sz w:val="24"/>
          <w:szCs w:val="24"/>
        </w:rPr>
      </w:pPr>
    </w:p>
    <w:p w14:paraId="7797C19D" w14:textId="77777777" w:rsidR="001826E9" w:rsidRPr="001826E9" w:rsidRDefault="001826E9" w:rsidP="001D0C92">
      <w:pPr>
        <w:pStyle w:val="Heading1"/>
      </w:pPr>
      <w:r w:rsidRPr="001826E9">
        <w:t>3. Analyse des Promotions</w:t>
      </w:r>
    </w:p>
    <w:p w14:paraId="13EBAA9C" w14:textId="77777777" w:rsidR="001826E9" w:rsidRPr="001826E9" w:rsidRDefault="001826E9" w:rsidP="001D0C92">
      <w:pPr>
        <w:pStyle w:val="Heading2"/>
      </w:pPr>
      <w:r w:rsidRPr="001826E9">
        <w:t>3.1 Performance en Période Promotionnelle</w:t>
      </w:r>
    </w:p>
    <w:p w14:paraId="3B39042B" w14:textId="5F03DB19" w:rsidR="001D0C92" w:rsidRDefault="001826E9" w:rsidP="001826E9">
      <w:pPr>
        <w:spacing w:line="360" w:lineRule="auto"/>
        <w:jc w:val="both"/>
        <w:rPr>
          <w:rFonts w:ascii="Times New Roman" w:hAnsi="Times New Roman" w:cs="Times New Roman"/>
          <w:sz w:val="24"/>
          <w:szCs w:val="24"/>
        </w:rPr>
      </w:pPr>
      <w:r w:rsidRPr="001826E9">
        <w:rPr>
          <w:rFonts w:ascii="Times New Roman" w:hAnsi="Times New Roman" w:cs="Times New Roman"/>
          <w:sz w:val="24"/>
          <w:szCs w:val="24"/>
        </w:rPr>
        <w:t>En période de promotion :</w:t>
      </w:r>
    </w:p>
    <w:p w14:paraId="500747E7" w14:textId="242FD4EB" w:rsidR="001D0C92" w:rsidRDefault="001D0C92" w:rsidP="001D0C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-Chiffre d’affaires : </w:t>
      </w:r>
      <w:r>
        <w:rPr>
          <w:rFonts w:ascii="Times New Roman" w:hAnsi="Times New Roman" w:cs="Times New Roman"/>
          <w:sz w:val="24"/>
          <w:szCs w:val="24"/>
        </w:rPr>
        <w:tab/>
        <w:t>7.</w:t>
      </w:r>
      <w:r w:rsidR="007F7AD9">
        <w:rPr>
          <w:rFonts w:ascii="Times New Roman" w:hAnsi="Times New Roman" w:cs="Times New Roman"/>
          <w:sz w:val="24"/>
          <w:szCs w:val="24"/>
        </w:rPr>
        <w:t>37 Millions €</w:t>
      </w:r>
    </w:p>
    <w:p w14:paraId="425E3EB6" w14:textId="5A080420" w:rsidR="001D0C92" w:rsidRDefault="001D0C92" w:rsidP="001D0C92">
      <w:pPr>
        <w:spacing w:line="360" w:lineRule="auto"/>
        <w:jc w:val="both"/>
        <w:rPr>
          <w:rFonts w:ascii="Times New Roman" w:hAnsi="Times New Roman" w:cs="Times New Roman"/>
          <w:sz w:val="24"/>
          <w:szCs w:val="24"/>
        </w:rPr>
      </w:pPr>
      <w:r>
        <w:rPr>
          <w:rFonts w:ascii="Times New Roman" w:hAnsi="Times New Roman" w:cs="Times New Roman"/>
          <w:sz w:val="24"/>
          <w:szCs w:val="24"/>
        </w:rPr>
        <w:t>-Marge : 2.97 Millions</w:t>
      </w:r>
      <w:r w:rsidR="007F7AD9">
        <w:rPr>
          <w:rFonts w:ascii="Times New Roman" w:hAnsi="Times New Roman" w:cs="Times New Roman"/>
          <w:sz w:val="24"/>
          <w:szCs w:val="24"/>
        </w:rPr>
        <w:t xml:space="preserve"> €</w:t>
      </w:r>
    </w:p>
    <w:p w14:paraId="3498A522" w14:textId="77777777" w:rsidR="001D0C92" w:rsidRDefault="001D0C92" w:rsidP="001D0C92">
      <w:pPr>
        <w:spacing w:line="360" w:lineRule="auto"/>
        <w:jc w:val="both"/>
        <w:rPr>
          <w:rFonts w:ascii="Times New Roman" w:hAnsi="Times New Roman" w:cs="Times New Roman"/>
          <w:sz w:val="24"/>
          <w:szCs w:val="24"/>
        </w:rPr>
      </w:pPr>
      <w:r>
        <w:rPr>
          <w:rFonts w:ascii="Times New Roman" w:hAnsi="Times New Roman" w:cs="Times New Roman"/>
          <w:sz w:val="24"/>
          <w:szCs w:val="24"/>
        </w:rPr>
        <w:t>-Taux marge : 40.25%</w:t>
      </w:r>
    </w:p>
    <w:tbl>
      <w:tblPr>
        <w:tblStyle w:val="PlainTable5"/>
        <w:tblW w:w="0" w:type="auto"/>
        <w:tblLook w:val="04A0" w:firstRow="1" w:lastRow="0" w:firstColumn="1" w:lastColumn="0" w:noHBand="0" w:noVBand="1"/>
      </w:tblPr>
      <w:tblGrid>
        <w:gridCol w:w="3020"/>
        <w:gridCol w:w="3021"/>
        <w:gridCol w:w="3021"/>
      </w:tblGrid>
      <w:tr w:rsidR="001D0C92" w14:paraId="7EF0E3EA" w14:textId="77777777" w:rsidTr="001D0C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0" w:type="dxa"/>
          </w:tcPr>
          <w:p w14:paraId="07E0E92B" w14:textId="5937C7BA" w:rsidR="001D0C92" w:rsidRDefault="001D0C92"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Catégories</w:t>
            </w:r>
          </w:p>
        </w:tc>
        <w:tc>
          <w:tcPr>
            <w:tcW w:w="3021" w:type="dxa"/>
          </w:tcPr>
          <w:p w14:paraId="5A5DBABC" w14:textId="0466ACE0" w:rsidR="001D0C92" w:rsidRDefault="001D0C92" w:rsidP="001826E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Chiffre d’affaires </w:t>
            </w:r>
          </w:p>
        </w:tc>
        <w:tc>
          <w:tcPr>
            <w:tcW w:w="3021" w:type="dxa"/>
          </w:tcPr>
          <w:p w14:paraId="58D1AD44" w14:textId="6711BBFF" w:rsidR="001D0C92" w:rsidRDefault="001D0C92" w:rsidP="001826E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Marge</w:t>
            </w:r>
          </w:p>
        </w:tc>
      </w:tr>
      <w:tr w:rsidR="001D0C92" w14:paraId="7CD87EDB" w14:textId="77777777" w:rsidTr="001D0C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A647C85" w14:textId="1C74D8B2" w:rsidR="001D0C92" w:rsidRDefault="001D0C92"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Prescription </w:t>
            </w:r>
          </w:p>
        </w:tc>
        <w:tc>
          <w:tcPr>
            <w:tcW w:w="3021" w:type="dxa"/>
          </w:tcPr>
          <w:p w14:paraId="7C09E589" w14:textId="692141C8" w:rsidR="001D0C92" w:rsidRDefault="001D0C92" w:rsidP="001826E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1.99 Millions </w:t>
            </w:r>
            <w:r w:rsidR="007F7AD9">
              <w:rPr>
                <w:rFonts w:ascii="Times New Roman" w:hAnsi="Times New Roman" w:cs="Times New Roman"/>
                <w:sz w:val="24"/>
                <w:szCs w:val="24"/>
              </w:rPr>
              <w:t>€</w:t>
            </w:r>
          </w:p>
        </w:tc>
        <w:tc>
          <w:tcPr>
            <w:tcW w:w="3021" w:type="dxa"/>
          </w:tcPr>
          <w:p w14:paraId="22B7B647" w14:textId="45A1C44F" w:rsidR="001D0C92" w:rsidRDefault="001D0C92" w:rsidP="001826E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612,33k</w:t>
            </w:r>
            <w:r w:rsidR="007F7AD9">
              <w:rPr>
                <w:rFonts w:ascii="Times New Roman" w:hAnsi="Times New Roman" w:cs="Times New Roman"/>
                <w:sz w:val="24"/>
                <w:szCs w:val="24"/>
              </w:rPr>
              <w:t xml:space="preserve"> €</w:t>
            </w:r>
          </w:p>
        </w:tc>
      </w:tr>
      <w:tr w:rsidR="001D0C92" w14:paraId="1453520C" w14:textId="77777777" w:rsidTr="001D0C92">
        <w:tc>
          <w:tcPr>
            <w:cnfStyle w:val="001000000000" w:firstRow="0" w:lastRow="0" w:firstColumn="1" w:lastColumn="0" w:oddVBand="0" w:evenVBand="0" w:oddHBand="0" w:evenHBand="0" w:firstRowFirstColumn="0" w:firstRowLastColumn="0" w:lastRowFirstColumn="0" w:lastRowLastColumn="0"/>
            <w:tcW w:w="3020" w:type="dxa"/>
          </w:tcPr>
          <w:p w14:paraId="18879930" w14:textId="53423F37" w:rsidR="001D0C92" w:rsidRDefault="001D0C92"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Soins personnels</w:t>
            </w:r>
          </w:p>
        </w:tc>
        <w:tc>
          <w:tcPr>
            <w:tcW w:w="3021" w:type="dxa"/>
          </w:tcPr>
          <w:p w14:paraId="250C8335" w14:textId="6CF3014C" w:rsidR="001D0C92" w:rsidRDefault="001D0C92" w:rsidP="001826E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1.54 Millions</w:t>
            </w:r>
            <w:r w:rsidR="007F7AD9">
              <w:rPr>
                <w:rFonts w:ascii="Times New Roman" w:hAnsi="Times New Roman" w:cs="Times New Roman"/>
                <w:sz w:val="24"/>
                <w:szCs w:val="24"/>
              </w:rPr>
              <w:t xml:space="preserve"> €</w:t>
            </w:r>
          </w:p>
        </w:tc>
        <w:tc>
          <w:tcPr>
            <w:tcW w:w="3021" w:type="dxa"/>
          </w:tcPr>
          <w:p w14:paraId="6C1247A4" w14:textId="7201BE89" w:rsidR="001D0C92" w:rsidRDefault="001D0C92" w:rsidP="001826E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703,19k</w:t>
            </w:r>
            <w:r w:rsidR="007F7AD9">
              <w:rPr>
                <w:rFonts w:ascii="Times New Roman" w:hAnsi="Times New Roman" w:cs="Times New Roman"/>
                <w:sz w:val="24"/>
                <w:szCs w:val="24"/>
              </w:rPr>
              <w:t xml:space="preserve"> €</w:t>
            </w:r>
          </w:p>
        </w:tc>
      </w:tr>
      <w:tr w:rsidR="001D0C92" w14:paraId="5D047373" w14:textId="77777777" w:rsidTr="001D0C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B7F4663" w14:textId="1DEB9B3F" w:rsidR="001D0C92" w:rsidRDefault="001D0C92"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Bien-être</w:t>
            </w:r>
          </w:p>
        </w:tc>
        <w:tc>
          <w:tcPr>
            <w:tcW w:w="3021" w:type="dxa"/>
          </w:tcPr>
          <w:p w14:paraId="3CBC2E5D" w14:textId="3FF88347" w:rsidR="001D0C92" w:rsidRDefault="001D0C92" w:rsidP="001826E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1.54 Millions</w:t>
            </w:r>
            <w:r w:rsidR="007F7AD9">
              <w:rPr>
                <w:rFonts w:ascii="Times New Roman" w:hAnsi="Times New Roman" w:cs="Times New Roman"/>
                <w:sz w:val="24"/>
                <w:szCs w:val="24"/>
              </w:rPr>
              <w:t xml:space="preserve"> €</w:t>
            </w:r>
          </w:p>
        </w:tc>
        <w:tc>
          <w:tcPr>
            <w:tcW w:w="3021" w:type="dxa"/>
          </w:tcPr>
          <w:p w14:paraId="1A4B7CEE" w14:textId="7E81819D" w:rsidR="001D0C92" w:rsidRDefault="001D0C92" w:rsidP="001826E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710,56k</w:t>
            </w:r>
            <w:r w:rsidR="007F7AD9">
              <w:rPr>
                <w:rFonts w:ascii="Times New Roman" w:hAnsi="Times New Roman" w:cs="Times New Roman"/>
                <w:sz w:val="24"/>
                <w:szCs w:val="24"/>
              </w:rPr>
              <w:t xml:space="preserve"> €</w:t>
            </w:r>
          </w:p>
        </w:tc>
      </w:tr>
      <w:tr w:rsidR="001D0C92" w14:paraId="5759337F" w14:textId="77777777" w:rsidTr="001D0C92">
        <w:tc>
          <w:tcPr>
            <w:cnfStyle w:val="001000000000" w:firstRow="0" w:lastRow="0" w:firstColumn="1" w:lastColumn="0" w:oddVBand="0" w:evenVBand="0" w:oddHBand="0" w:evenHBand="0" w:firstRowFirstColumn="0" w:firstRowLastColumn="0" w:lastRowFirstColumn="0" w:lastRowLastColumn="0"/>
            <w:tcW w:w="3020" w:type="dxa"/>
          </w:tcPr>
          <w:p w14:paraId="0ECDFD70" w14:textId="71E628D1" w:rsidR="001D0C92" w:rsidRDefault="001D0C92"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OTC</w:t>
            </w:r>
          </w:p>
        </w:tc>
        <w:tc>
          <w:tcPr>
            <w:tcW w:w="3021" w:type="dxa"/>
          </w:tcPr>
          <w:p w14:paraId="0F80726E" w14:textId="5E118808" w:rsidR="001D0C92" w:rsidRDefault="001D0C92" w:rsidP="001826E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1.28 Millions</w:t>
            </w:r>
            <w:r w:rsidR="007F7AD9">
              <w:rPr>
                <w:rFonts w:ascii="Times New Roman" w:hAnsi="Times New Roman" w:cs="Times New Roman"/>
                <w:sz w:val="24"/>
                <w:szCs w:val="24"/>
              </w:rPr>
              <w:t xml:space="preserve"> €</w:t>
            </w:r>
          </w:p>
        </w:tc>
        <w:tc>
          <w:tcPr>
            <w:tcW w:w="3021" w:type="dxa"/>
          </w:tcPr>
          <w:p w14:paraId="4DB2970A" w14:textId="101A0376" w:rsidR="001D0C92" w:rsidRDefault="001D0C92" w:rsidP="001826E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533,37k</w:t>
            </w:r>
            <w:r w:rsidR="007F7AD9">
              <w:rPr>
                <w:rFonts w:ascii="Times New Roman" w:hAnsi="Times New Roman" w:cs="Times New Roman"/>
                <w:sz w:val="24"/>
                <w:szCs w:val="24"/>
              </w:rPr>
              <w:t xml:space="preserve"> €</w:t>
            </w:r>
          </w:p>
        </w:tc>
      </w:tr>
      <w:tr w:rsidR="001D0C92" w14:paraId="21B9E4B0" w14:textId="77777777" w:rsidTr="001D0C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4197950" w14:textId="0CB2EACE" w:rsidR="001D0C92" w:rsidRDefault="001D0C92"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Equipements médicaux</w:t>
            </w:r>
          </w:p>
        </w:tc>
        <w:tc>
          <w:tcPr>
            <w:tcW w:w="3021" w:type="dxa"/>
          </w:tcPr>
          <w:p w14:paraId="304FB44D" w14:textId="4D5F50B8" w:rsidR="001D0C92" w:rsidRDefault="001D0C92" w:rsidP="001826E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1.02 Millions</w:t>
            </w:r>
            <w:r w:rsidR="007F7AD9">
              <w:rPr>
                <w:rFonts w:ascii="Times New Roman" w:hAnsi="Times New Roman" w:cs="Times New Roman"/>
                <w:sz w:val="24"/>
                <w:szCs w:val="24"/>
              </w:rPr>
              <w:t xml:space="preserve"> €</w:t>
            </w:r>
          </w:p>
        </w:tc>
        <w:tc>
          <w:tcPr>
            <w:tcW w:w="3021" w:type="dxa"/>
          </w:tcPr>
          <w:p w14:paraId="7CC4B753" w14:textId="1046F4A2" w:rsidR="001D0C92" w:rsidRDefault="001D0C92" w:rsidP="001826E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506,12k</w:t>
            </w:r>
            <w:r w:rsidR="007F7AD9">
              <w:rPr>
                <w:rFonts w:ascii="Times New Roman" w:hAnsi="Times New Roman" w:cs="Times New Roman"/>
                <w:sz w:val="24"/>
                <w:szCs w:val="24"/>
              </w:rPr>
              <w:t xml:space="preserve"> €</w:t>
            </w:r>
          </w:p>
        </w:tc>
      </w:tr>
    </w:tbl>
    <w:p w14:paraId="5EC1E8A7" w14:textId="77777777" w:rsidR="001D0C92" w:rsidRDefault="001D0C92" w:rsidP="001826E9">
      <w:pPr>
        <w:spacing w:line="360" w:lineRule="auto"/>
        <w:jc w:val="both"/>
        <w:rPr>
          <w:rFonts w:ascii="Times New Roman" w:hAnsi="Times New Roman" w:cs="Times New Roman"/>
          <w:sz w:val="24"/>
          <w:szCs w:val="24"/>
        </w:rPr>
      </w:pPr>
    </w:p>
    <w:p w14:paraId="7113AAD5" w14:textId="3675B50B" w:rsidR="005166E8" w:rsidRPr="001D0C92" w:rsidRDefault="001D0C92" w:rsidP="001D0C92">
      <w:pPr>
        <w:pStyle w:val="Heading3"/>
      </w:pPr>
      <w:r>
        <w:lastRenderedPageBreak/>
        <w:t>CONCLUSION</w:t>
      </w:r>
    </w:p>
    <w:p w14:paraId="038A0487" w14:textId="6C902621" w:rsidR="001826E9" w:rsidRDefault="001826E9" w:rsidP="001826E9">
      <w:pPr>
        <w:spacing w:line="360" w:lineRule="auto"/>
        <w:jc w:val="both"/>
        <w:rPr>
          <w:rFonts w:ascii="Times New Roman" w:hAnsi="Times New Roman" w:cs="Times New Roman"/>
          <w:sz w:val="24"/>
          <w:szCs w:val="24"/>
        </w:rPr>
      </w:pPr>
      <w:r w:rsidRPr="001826E9">
        <w:rPr>
          <w:rFonts w:ascii="Times New Roman" w:hAnsi="Times New Roman" w:cs="Times New Roman"/>
          <w:sz w:val="24"/>
          <w:szCs w:val="24"/>
        </w:rPr>
        <w:t>Les Soins personnels et le Bien-être génèrent les marges les plus élevées en valeur absolue.</w:t>
      </w:r>
    </w:p>
    <w:p w14:paraId="471868CA" w14:textId="77777777" w:rsidR="001D0C92" w:rsidRPr="001826E9" w:rsidRDefault="001D0C92" w:rsidP="001826E9">
      <w:pPr>
        <w:spacing w:line="360" w:lineRule="auto"/>
        <w:jc w:val="both"/>
        <w:rPr>
          <w:rFonts w:ascii="Times New Roman" w:hAnsi="Times New Roman" w:cs="Times New Roman"/>
          <w:sz w:val="24"/>
          <w:szCs w:val="24"/>
        </w:rPr>
      </w:pPr>
    </w:p>
    <w:p w14:paraId="60DC6F54" w14:textId="77777777" w:rsidR="001826E9" w:rsidRPr="001826E9" w:rsidRDefault="001826E9" w:rsidP="001D0C92">
      <w:pPr>
        <w:pStyle w:val="Heading2"/>
      </w:pPr>
      <w:r w:rsidRPr="001826E9">
        <w:t>3.2 Performance Hors Promotion</w:t>
      </w:r>
    </w:p>
    <w:p w14:paraId="39B9F7CE" w14:textId="61BE957B" w:rsidR="001D0C92" w:rsidRDefault="001D0C92"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Sans promotion nous avons :</w:t>
      </w:r>
    </w:p>
    <w:p w14:paraId="4ED04E4A" w14:textId="2869C334" w:rsidR="001D0C92" w:rsidRDefault="001D0C92" w:rsidP="001D0C92">
      <w:pPr>
        <w:spacing w:line="360" w:lineRule="auto"/>
        <w:jc w:val="both"/>
        <w:rPr>
          <w:rFonts w:ascii="Times New Roman" w:hAnsi="Times New Roman" w:cs="Times New Roman"/>
          <w:sz w:val="24"/>
          <w:szCs w:val="24"/>
        </w:rPr>
      </w:pPr>
      <w:r>
        <w:rPr>
          <w:rFonts w:ascii="Times New Roman" w:hAnsi="Times New Roman" w:cs="Times New Roman"/>
          <w:sz w:val="24"/>
          <w:szCs w:val="24"/>
        </w:rPr>
        <w:t>-Chiffre d’affaires : 7.41Millions</w:t>
      </w:r>
      <w:r w:rsidR="007F7AD9">
        <w:rPr>
          <w:rFonts w:ascii="Times New Roman" w:hAnsi="Times New Roman" w:cs="Times New Roman"/>
          <w:sz w:val="24"/>
          <w:szCs w:val="24"/>
        </w:rPr>
        <w:t xml:space="preserve"> €</w:t>
      </w:r>
    </w:p>
    <w:p w14:paraId="28585689" w14:textId="4BF69527" w:rsidR="001D0C92" w:rsidRDefault="001D0C92" w:rsidP="001D0C92">
      <w:pPr>
        <w:spacing w:line="360" w:lineRule="auto"/>
        <w:jc w:val="both"/>
        <w:rPr>
          <w:rFonts w:ascii="Times New Roman" w:hAnsi="Times New Roman" w:cs="Times New Roman"/>
          <w:sz w:val="24"/>
          <w:szCs w:val="24"/>
        </w:rPr>
      </w:pPr>
      <w:r>
        <w:rPr>
          <w:rFonts w:ascii="Times New Roman" w:hAnsi="Times New Roman" w:cs="Times New Roman"/>
          <w:sz w:val="24"/>
          <w:szCs w:val="24"/>
        </w:rPr>
        <w:t>-Marge : 2.98 Millions</w:t>
      </w:r>
      <w:r w:rsidR="007F7AD9">
        <w:rPr>
          <w:rFonts w:ascii="Times New Roman" w:hAnsi="Times New Roman" w:cs="Times New Roman"/>
          <w:sz w:val="24"/>
          <w:szCs w:val="24"/>
        </w:rPr>
        <w:t xml:space="preserve"> €</w:t>
      </w:r>
    </w:p>
    <w:p w14:paraId="5FFC7D97" w14:textId="77777777" w:rsidR="001D0C92" w:rsidRDefault="001D0C92" w:rsidP="001D0C92">
      <w:pPr>
        <w:spacing w:line="360" w:lineRule="auto"/>
        <w:jc w:val="both"/>
        <w:rPr>
          <w:rFonts w:ascii="Times New Roman" w:hAnsi="Times New Roman" w:cs="Times New Roman"/>
          <w:sz w:val="24"/>
          <w:szCs w:val="24"/>
        </w:rPr>
      </w:pPr>
      <w:r>
        <w:rPr>
          <w:rFonts w:ascii="Times New Roman" w:hAnsi="Times New Roman" w:cs="Times New Roman"/>
          <w:sz w:val="24"/>
          <w:szCs w:val="24"/>
        </w:rPr>
        <w:t>-Taux de marge : 40.18%</w:t>
      </w:r>
    </w:p>
    <w:p w14:paraId="01C125DC" w14:textId="77777777" w:rsidR="001D0C92" w:rsidRDefault="001D0C92" w:rsidP="001826E9">
      <w:pPr>
        <w:spacing w:line="360" w:lineRule="auto"/>
        <w:jc w:val="both"/>
        <w:rPr>
          <w:rFonts w:ascii="Times New Roman" w:hAnsi="Times New Roman" w:cs="Times New Roman"/>
          <w:sz w:val="24"/>
          <w:szCs w:val="24"/>
        </w:rPr>
      </w:pPr>
    </w:p>
    <w:p w14:paraId="03A7E3E1" w14:textId="1F6506C3" w:rsidR="001826E9" w:rsidRDefault="001826E9" w:rsidP="001826E9">
      <w:pPr>
        <w:spacing w:line="360" w:lineRule="auto"/>
        <w:jc w:val="both"/>
        <w:rPr>
          <w:rFonts w:ascii="Times New Roman" w:hAnsi="Times New Roman" w:cs="Times New Roman"/>
          <w:sz w:val="24"/>
          <w:szCs w:val="24"/>
        </w:rPr>
      </w:pPr>
      <w:r w:rsidRPr="001826E9">
        <w:rPr>
          <w:rFonts w:ascii="Times New Roman" w:hAnsi="Times New Roman" w:cs="Times New Roman"/>
          <w:sz w:val="24"/>
          <w:szCs w:val="24"/>
        </w:rPr>
        <w:t>Sans promotion :</w:t>
      </w:r>
    </w:p>
    <w:p w14:paraId="561453BB" w14:textId="2230885E" w:rsidR="003742FA" w:rsidRDefault="003742FA"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Voici un tableau récapitulatif</w:t>
      </w:r>
    </w:p>
    <w:tbl>
      <w:tblPr>
        <w:tblStyle w:val="PlainTable5"/>
        <w:tblW w:w="0" w:type="auto"/>
        <w:tblLook w:val="04A0" w:firstRow="1" w:lastRow="0" w:firstColumn="1" w:lastColumn="0" w:noHBand="0" w:noVBand="1"/>
      </w:tblPr>
      <w:tblGrid>
        <w:gridCol w:w="3020"/>
        <w:gridCol w:w="3021"/>
        <w:gridCol w:w="3021"/>
      </w:tblGrid>
      <w:tr w:rsidR="003742FA" w14:paraId="018D633B" w14:textId="77777777" w:rsidTr="001D0C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0" w:type="dxa"/>
          </w:tcPr>
          <w:p w14:paraId="54EF7ACC" w14:textId="0CF579B9" w:rsidR="003742FA" w:rsidRDefault="003742FA"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Catégories </w:t>
            </w:r>
          </w:p>
        </w:tc>
        <w:tc>
          <w:tcPr>
            <w:tcW w:w="3021" w:type="dxa"/>
          </w:tcPr>
          <w:p w14:paraId="0246D58E" w14:textId="4F15A4AA" w:rsidR="003742FA" w:rsidRDefault="003742FA" w:rsidP="001826E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Chiffre d’Affaires</w:t>
            </w:r>
          </w:p>
        </w:tc>
        <w:tc>
          <w:tcPr>
            <w:tcW w:w="3021" w:type="dxa"/>
          </w:tcPr>
          <w:p w14:paraId="727B5C35" w14:textId="1EFA6148" w:rsidR="003742FA" w:rsidRDefault="003742FA" w:rsidP="001826E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Marge</w:t>
            </w:r>
          </w:p>
        </w:tc>
      </w:tr>
      <w:tr w:rsidR="003742FA" w14:paraId="1E62303C" w14:textId="77777777" w:rsidTr="001D0C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824904C" w14:textId="6EE62446" w:rsidR="003742FA" w:rsidRDefault="003742FA"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Prescription</w:t>
            </w:r>
          </w:p>
        </w:tc>
        <w:tc>
          <w:tcPr>
            <w:tcW w:w="3021" w:type="dxa"/>
          </w:tcPr>
          <w:p w14:paraId="1DC0807D" w14:textId="103A0997" w:rsidR="003742FA" w:rsidRDefault="003742FA" w:rsidP="001826E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2 Millions </w:t>
            </w:r>
            <w:r w:rsidR="007F7AD9">
              <w:rPr>
                <w:rFonts w:ascii="Times New Roman" w:hAnsi="Times New Roman" w:cs="Times New Roman"/>
                <w:sz w:val="24"/>
                <w:szCs w:val="24"/>
              </w:rPr>
              <w:t>€</w:t>
            </w:r>
          </w:p>
        </w:tc>
        <w:tc>
          <w:tcPr>
            <w:tcW w:w="3021" w:type="dxa"/>
          </w:tcPr>
          <w:p w14:paraId="7D0E0852" w14:textId="3A083397" w:rsidR="003742FA" w:rsidRDefault="003742FA" w:rsidP="001826E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626,29k</w:t>
            </w:r>
            <w:r w:rsidR="007F7AD9">
              <w:rPr>
                <w:rFonts w:ascii="Times New Roman" w:hAnsi="Times New Roman" w:cs="Times New Roman"/>
                <w:sz w:val="24"/>
                <w:szCs w:val="24"/>
              </w:rPr>
              <w:t xml:space="preserve"> €</w:t>
            </w:r>
          </w:p>
        </w:tc>
      </w:tr>
      <w:tr w:rsidR="003742FA" w14:paraId="253EB3FF" w14:textId="77777777" w:rsidTr="001D0C92">
        <w:tc>
          <w:tcPr>
            <w:cnfStyle w:val="001000000000" w:firstRow="0" w:lastRow="0" w:firstColumn="1" w:lastColumn="0" w:oddVBand="0" w:evenVBand="0" w:oddHBand="0" w:evenHBand="0" w:firstRowFirstColumn="0" w:firstRowLastColumn="0" w:lastRowFirstColumn="0" w:lastRowLastColumn="0"/>
            <w:tcW w:w="3020" w:type="dxa"/>
          </w:tcPr>
          <w:p w14:paraId="37E12206" w14:textId="11D7DE9D" w:rsidR="003742FA" w:rsidRDefault="003742FA"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Soins personnels </w:t>
            </w:r>
          </w:p>
        </w:tc>
        <w:tc>
          <w:tcPr>
            <w:tcW w:w="3021" w:type="dxa"/>
          </w:tcPr>
          <w:p w14:paraId="52E30ACF" w14:textId="72C5F066" w:rsidR="003742FA" w:rsidRDefault="003742FA" w:rsidP="001826E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1.55Millions </w:t>
            </w:r>
            <w:r w:rsidR="007F7AD9">
              <w:rPr>
                <w:rFonts w:ascii="Times New Roman" w:hAnsi="Times New Roman" w:cs="Times New Roman"/>
                <w:sz w:val="24"/>
                <w:szCs w:val="24"/>
              </w:rPr>
              <w:t>€</w:t>
            </w:r>
          </w:p>
        </w:tc>
        <w:tc>
          <w:tcPr>
            <w:tcW w:w="3021" w:type="dxa"/>
          </w:tcPr>
          <w:p w14:paraId="6B227DBD" w14:textId="66C21563" w:rsidR="003742FA" w:rsidRDefault="003742FA" w:rsidP="001826E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709,78k</w:t>
            </w:r>
            <w:r w:rsidR="007F7AD9">
              <w:rPr>
                <w:rFonts w:ascii="Times New Roman" w:hAnsi="Times New Roman" w:cs="Times New Roman"/>
                <w:sz w:val="24"/>
                <w:szCs w:val="24"/>
              </w:rPr>
              <w:t xml:space="preserve"> €</w:t>
            </w:r>
          </w:p>
        </w:tc>
      </w:tr>
      <w:tr w:rsidR="003742FA" w14:paraId="36E7A387" w14:textId="77777777" w:rsidTr="001D0C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18C0CAF" w14:textId="765F85FF" w:rsidR="003742FA" w:rsidRDefault="003742FA"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Bien-être </w:t>
            </w:r>
          </w:p>
        </w:tc>
        <w:tc>
          <w:tcPr>
            <w:tcW w:w="3021" w:type="dxa"/>
          </w:tcPr>
          <w:p w14:paraId="24CF879E" w14:textId="7473E5D3" w:rsidR="003742FA" w:rsidRDefault="003742FA" w:rsidP="001826E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 Millions</w:t>
            </w:r>
            <w:r w:rsidR="007F7AD9">
              <w:rPr>
                <w:rFonts w:ascii="Times New Roman" w:hAnsi="Times New Roman" w:cs="Times New Roman"/>
                <w:sz w:val="24"/>
                <w:szCs w:val="24"/>
              </w:rPr>
              <w:t xml:space="preserve"> €</w:t>
            </w:r>
          </w:p>
        </w:tc>
        <w:tc>
          <w:tcPr>
            <w:tcW w:w="3021" w:type="dxa"/>
          </w:tcPr>
          <w:p w14:paraId="48927D8F" w14:textId="335CBD68" w:rsidR="003742FA" w:rsidRDefault="003742FA" w:rsidP="001826E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683,28k</w:t>
            </w:r>
            <w:r w:rsidR="007F7AD9">
              <w:rPr>
                <w:rFonts w:ascii="Times New Roman" w:hAnsi="Times New Roman" w:cs="Times New Roman"/>
                <w:sz w:val="24"/>
                <w:szCs w:val="24"/>
              </w:rPr>
              <w:t xml:space="preserve"> €</w:t>
            </w:r>
          </w:p>
        </w:tc>
      </w:tr>
      <w:tr w:rsidR="003742FA" w14:paraId="04A8014E" w14:textId="77777777" w:rsidTr="001D0C92">
        <w:tc>
          <w:tcPr>
            <w:cnfStyle w:val="001000000000" w:firstRow="0" w:lastRow="0" w:firstColumn="1" w:lastColumn="0" w:oddVBand="0" w:evenVBand="0" w:oddHBand="0" w:evenHBand="0" w:firstRowFirstColumn="0" w:firstRowLastColumn="0" w:lastRowFirstColumn="0" w:lastRowLastColumn="0"/>
            <w:tcW w:w="3020" w:type="dxa"/>
          </w:tcPr>
          <w:p w14:paraId="6F793DF1" w14:textId="65D2771D" w:rsidR="003742FA" w:rsidRDefault="003742FA"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OTC</w:t>
            </w:r>
          </w:p>
        </w:tc>
        <w:tc>
          <w:tcPr>
            <w:tcW w:w="3021" w:type="dxa"/>
          </w:tcPr>
          <w:p w14:paraId="194A46D5" w14:textId="77F3679B" w:rsidR="003742FA" w:rsidRDefault="003742FA" w:rsidP="001826E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1.29 Millions </w:t>
            </w:r>
            <w:r w:rsidR="007F7AD9">
              <w:rPr>
                <w:rFonts w:ascii="Times New Roman" w:hAnsi="Times New Roman" w:cs="Times New Roman"/>
                <w:sz w:val="24"/>
                <w:szCs w:val="24"/>
              </w:rPr>
              <w:t>€</w:t>
            </w:r>
          </w:p>
        </w:tc>
        <w:tc>
          <w:tcPr>
            <w:tcW w:w="3021" w:type="dxa"/>
          </w:tcPr>
          <w:p w14:paraId="518C0BA8" w14:textId="77E8447D" w:rsidR="003742FA" w:rsidRDefault="003742FA" w:rsidP="001826E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443,57k</w:t>
            </w:r>
            <w:r w:rsidR="007F7AD9">
              <w:rPr>
                <w:rFonts w:ascii="Times New Roman" w:hAnsi="Times New Roman" w:cs="Times New Roman"/>
                <w:sz w:val="24"/>
                <w:szCs w:val="24"/>
              </w:rPr>
              <w:t xml:space="preserve"> €</w:t>
            </w:r>
          </w:p>
        </w:tc>
      </w:tr>
      <w:tr w:rsidR="003742FA" w14:paraId="06EA8154" w14:textId="77777777" w:rsidTr="001D0C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C46B593" w14:textId="76875775" w:rsidR="003742FA" w:rsidRDefault="003742FA"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Equipement médicaux</w:t>
            </w:r>
          </w:p>
        </w:tc>
        <w:tc>
          <w:tcPr>
            <w:tcW w:w="3021" w:type="dxa"/>
          </w:tcPr>
          <w:p w14:paraId="7FB090A1" w14:textId="4FDA9254" w:rsidR="003742FA" w:rsidRDefault="003742FA" w:rsidP="001826E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1.07 Millions </w:t>
            </w:r>
            <w:r w:rsidR="007F7AD9">
              <w:rPr>
                <w:rFonts w:ascii="Times New Roman" w:hAnsi="Times New Roman" w:cs="Times New Roman"/>
                <w:sz w:val="24"/>
                <w:szCs w:val="24"/>
              </w:rPr>
              <w:t>€</w:t>
            </w:r>
          </w:p>
        </w:tc>
        <w:tc>
          <w:tcPr>
            <w:tcW w:w="3021" w:type="dxa"/>
          </w:tcPr>
          <w:p w14:paraId="33A97497" w14:textId="03B7518D" w:rsidR="003742FA" w:rsidRDefault="003742FA" w:rsidP="001826E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514,02k</w:t>
            </w:r>
            <w:r w:rsidR="007F7AD9">
              <w:rPr>
                <w:rFonts w:ascii="Times New Roman" w:hAnsi="Times New Roman" w:cs="Times New Roman"/>
                <w:sz w:val="24"/>
                <w:szCs w:val="24"/>
              </w:rPr>
              <w:t xml:space="preserve"> €</w:t>
            </w:r>
          </w:p>
        </w:tc>
      </w:tr>
    </w:tbl>
    <w:p w14:paraId="14DEFA47" w14:textId="77777777" w:rsidR="003742FA" w:rsidRDefault="003742FA" w:rsidP="001826E9">
      <w:pPr>
        <w:spacing w:line="360" w:lineRule="auto"/>
        <w:jc w:val="both"/>
        <w:rPr>
          <w:rFonts w:ascii="Times New Roman" w:hAnsi="Times New Roman" w:cs="Times New Roman"/>
          <w:sz w:val="24"/>
          <w:szCs w:val="24"/>
        </w:rPr>
      </w:pPr>
    </w:p>
    <w:p w14:paraId="48E3D568" w14:textId="0AF0DEE0" w:rsidR="003742FA" w:rsidRPr="001826E9" w:rsidRDefault="003742FA" w:rsidP="001D0C92">
      <w:pPr>
        <w:pStyle w:val="Heading3"/>
      </w:pPr>
      <w:r>
        <w:t>CONCLUSION</w:t>
      </w:r>
    </w:p>
    <w:p w14:paraId="0B0BA2E0" w14:textId="77777777" w:rsidR="001826E9" w:rsidRPr="001826E9" w:rsidRDefault="001826E9" w:rsidP="001826E9">
      <w:pPr>
        <w:spacing w:line="360" w:lineRule="auto"/>
        <w:jc w:val="both"/>
        <w:rPr>
          <w:rFonts w:ascii="Times New Roman" w:hAnsi="Times New Roman" w:cs="Times New Roman"/>
          <w:sz w:val="24"/>
          <w:szCs w:val="24"/>
        </w:rPr>
      </w:pPr>
      <w:r w:rsidRPr="001826E9">
        <w:rPr>
          <w:rFonts w:ascii="Times New Roman" w:hAnsi="Times New Roman" w:cs="Times New Roman"/>
          <w:sz w:val="24"/>
          <w:szCs w:val="24"/>
        </w:rPr>
        <w:t>Les écarts entre périodes promotionnelles et non promotionnelles sont faibles. Cela indique que la demande est structurelle et non exclusivement dépendante des promotions.</w:t>
      </w:r>
    </w:p>
    <w:p w14:paraId="58741C60" w14:textId="1A8DAE7C" w:rsidR="001826E9" w:rsidRPr="001826E9" w:rsidRDefault="001826E9" w:rsidP="001826E9">
      <w:pPr>
        <w:spacing w:line="360" w:lineRule="auto"/>
        <w:jc w:val="both"/>
        <w:rPr>
          <w:rFonts w:ascii="Times New Roman" w:hAnsi="Times New Roman" w:cs="Times New Roman"/>
          <w:sz w:val="24"/>
          <w:szCs w:val="24"/>
        </w:rPr>
      </w:pPr>
      <w:r w:rsidRPr="001826E9">
        <w:rPr>
          <w:rFonts w:ascii="Times New Roman" w:hAnsi="Times New Roman" w:cs="Times New Roman"/>
          <w:sz w:val="24"/>
          <w:szCs w:val="24"/>
        </w:rPr>
        <w:t>Les promotions soutiennent le volume mais ne transforment pas radicalement la structure de performance.</w:t>
      </w:r>
    </w:p>
    <w:p w14:paraId="79718722" w14:textId="5F81FCF9" w:rsidR="001826E9" w:rsidRPr="001826E9" w:rsidRDefault="001826E9" w:rsidP="001826E9">
      <w:pPr>
        <w:spacing w:line="360" w:lineRule="auto"/>
        <w:jc w:val="both"/>
        <w:rPr>
          <w:rFonts w:ascii="Times New Roman" w:hAnsi="Times New Roman" w:cs="Times New Roman"/>
          <w:sz w:val="24"/>
          <w:szCs w:val="24"/>
        </w:rPr>
      </w:pPr>
    </w:p>
    <w:p w14:paraId="135A11A6" w14:textId="77777777" w:rsidR="001826E9" w:rsidRPr="001826E9" w:rsidRDefault="001826E9" w:rsidP="001D0C92">
      <w:pPr>
        <w:pStyle w:val="Heading1"/>
      </w:pPr>
      <w:r w:rsidRPr="001826E9">
        <w:t>4. Analyse Géographique</w:t>
      </w:r>
    </w:p>
    <w:p w14:paraId="0163CF2C" w14:textId="77777777" w:rsidR="001826E9" w:rsidRDefault="001826E9" w:rsidP="001D0C92">
      <w:pPr>
        <w:pStyle w:val="Heading2"/>
      </w:pPr>
      <w:r w:rsidRPr="001826E9">
        <w:t>4.1 Répartition par Pays</w:t>
      </w:r>
    </w:p>
    <w:p w14:paraId="2BE12CB9" w14:textId="10A166F5" w:rsidR="005166E8" w:rsidRDefault="005166E8"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Voici une répartition du chiffre d’affaires par pays :</w:t>
      </w:r>
    </w:p>
    <w:p w14:paraId="231235A4" w14:textId="771BB172" w:rsidR="005166E8" w:rsidRDefault="005166E8"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-Niger aux alentours de 19%</w:t>
      </w:r>
    </w:p>
    <w:p w14:paraId="14504E56" w14:textId="5F824B04" w:rsidR="005166E8" w:rsidRDefault="005166E8"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-Burkina Faso avec 14,97%</w:t>
      </w:r>
    </w:p>
    <w:p w14:paraId="5E559BC4" w14:textId="7E64FFFE" w:rsidR="005166E8" w:rsidRDefault="005166E8"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-Mali 14%</w:t>
      </w:r>
    </w:p>
    <w:p w14:paraId="1F28263E" w14:textId="65A94E63" w:rsidR="005166E8" w:rsidRDefault="005166E8"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-Togo et Cote d’Ivoire environ 12%</w:t>
      </w:r>
    </w:p>
    <w:p w14:paraId="1947D2A1" w14:textId="123F91AA" w:rsidR="005166E8" w:rsidRDefault="005166E8"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-Benin 11%</w:t>
      </w:r>
    </w:p>
    <w:p w14:paraId="5B89BD2B" w14:textId="1CC9CCC8" w:rsidR="005166E8" w:rsidRDefault="005166E8"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-Guinée-Bissau 8,76%</w:t>
      </w:r>
    </w:p>
    <w:p w14:paraId="6D0F717F" w14:textId="470BB580" w:rsidR="001826E9" w:rsidRDefault="005166E8"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-Sénégal 7,19%</w:t>
      </w:r>
    </w:p>
    <w:p w14:paraId="2EEA09CE" w14:textId="77777777" w:rsidR="005166E8" w:rsidRPr="001826E9" w:rsidRDefault="005166E8" w:rsidP="001826E9">
      <w:pPr>
        <w:spacing w:line="360" w:lineRule="auto"/>
        <w:jc w:val="both"/>
        <w:rPr>
          <w:rFonts w:ascii="Times New Roman" w:hAnsi="Times New Roman" w:cs="Times New Roman"/>
          <w:sz w:val="24"/>
          <w:szCs w:val="24"/>
        </w:rPr>
      </w:pPr>
    </w:p>
    <w:p w14:paraId="0481FCEB" w14:textId="77777777" w:rsidR="001826E9" w:rsidRPr="001826E9" w:rsidRDefault="001826E9" w:rsidP="001826E9">
      <w:pPr>
        <w:spacing w:line="360" w:lineRule="auto"/>
        <w:jc w:val="both"/>
        <w:rPr>
          <w:rFonts w:ascii="Times New Roman" w:hAnsi="Times New Roman" w:cs="Times New Roman"/>
          <w:sz w:val="24"/>
          <w:szCs w:val="24"/>
        </w:rPr>
      </w:pPr>
      <w:r w:rsidRPr="001826E9">
        <w:rPr>
          <w:rFonts w:ascii="Times New Roman" w:hAnsi="Times New Roman" w:cs="Times New Roman"/>
          <w:sz w:val="24"/>
          <w:szCs w:val="24"/>
        </w:rPr>
        <w:t>Le chiffre d’affaires est dominé par quelques pays clés, avec une forte concentration urbaine.</w:t>
      </w:r>
    </w:p>
    <w:p w14:paraId="09D0720E" w14:textId="18D2C1D6" w:rsidR="001826E9" w:rsidRPr="001826E9" w:rsidRDefault="001826E9" w:rsidP="001826E9">
      <w:pPr>
        <w:spacing w:line="360" w:lineRule="auto"/>
        <w:jc w:val="both"/>
        <w:rPr>
          <w:rFonts w:ascii="Times New Roman" w:hAnsi="Times New Roman" w:cs="Times New Roman"/>
          <w:sz w:val="24"/>
          <w:szCs w:val="24"/>
        </w:rPr>
      </w:pPr>
    </w:p>
    <w:p w14:paraId="1CB43CC9" w14:textId="77777777" w:rsidR="001826E9" w:rsidRPr="001826E9" w:rsidRDefault="001826E9" w:rsidP="001D0C92">
      <w:pPr>
        <w:pStyle w:val="Heading1"/>
      </w:pPr>
      <w:r w:rsidRPr="001826E9">
        <w:t>5. Villes à Fort Potentiel</w:t>
      </w:r>
    </w:p>
    <w:p w14:paraId="498C9940" w14:textId="38899145" w:rsidR="001826E9" w:rsidRDefault="00893B95"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Pour l</w:t>
      </w:r>
      <w:r w:rsidR="001826E9" w:rsidRPr="001826E9">
        <w:rPr>
          <w:rFonts w:ascii="Times New Roman" w:hAnsi="Times New Roman" w:cs="Times New Roman"/>
          <w:sz w:val="24"/>
          <w:szCs w:val="24"/>
        </w:rPr>
        <w:t xml:space="preserve">es villes à fort potentiel sont celles combinant volume élevé et environnement économique favorable </w:t>
      </w:r>
      <w:r>
        <w:rPr>
          <w:rFonts w:ascii="Times New Roman" w:hAnsi="Times New Roman" w:cs="Times New Roman"/>
          <w:sz w:val="24"/>
          <w:szCs w:val="24"/>
        </w:rPr>
        <w:t xml:space="preserve">et aussi un chiffre d’affaires importants : </w:t>
      </w:r>
    </w:p>
    <w:p w14:paraId="464E85C6" w14:textId="28097734" w:rsidR="00893B95" w:rsidRDefault="00893B95" w:rsidP="00893B95">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Au Niger nous avons Zinder et Agadez</w:t>
      </w:r>
    </w:p>
    <w:p w14:paraId="3244F46A" w14:textId="13460F11" w:rsidR="00893B95" w:rsidRDefault="00893B95" w:rsidP="00893B95">
      <w:pPr>
        <w:pStyle w:val="ListParagraph"/>
        <w:numPr>
          <w:ilvl w:val="0"/>
          <w:numId w:val="2"/>
        </w:numPr>
        <w:spacing w:line="360" w:lineRule="auto"/>
        <w:jc w:val="both"/>
        <w:rPr>
          <w:rFonts w:ascii="Times New Roman" w:hAnsi="Times New Roman" w:cs="Times New Roman"/>
          <w:sz w:val="24"/>
          <w:szCs w:val="24"/>
        </w:rPr>
      </w:pPr>
      <w:r w:rsidRPr="00893B95">
        <w:rPr>
          <w:rFonts w:ascii="Times New Roman" w:hAnsi="Times New Roman" w:cs="Times New Roman"/>
          <w:sz w:val="24"/>
          <w:szCs w:val="24"/>
        </w:rPr>
        <w:t xml:space="preserve">Au Burkina Faso nous </w:t>
      </w:r>
      <w:r>
        <w:rPr>
          <w:rFonts w:ascii="Times New Roman" w:hAnsi="Times New Roman" w:cs="Times New Roman"/>
          <w:sz w:val="24"/>
          <w:szCs w:val="24"/>
        </w:rPr>
        <w:t>avons Bobo-Dioulasso et Ouagadougou</w:t>
      </w:r>
    </w:p>
    <w:p w14:paraId="40D64E8E" w14:textId="1F1D93CF" w:rsidR="00893B95" w:rsidRDefault="00893B95" w:rsidP="00893B95">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Au Mali la ville référence est Kayes</w:t>
      </w:r>
      <w:r w:rsidR="005031E9">
        <w:rPr>
          <w:rFonts w:ascii="Times New Roman" w:hAnsi="Times New Roman" w:cs="Times New Roman"/>
          <w:sz w:val="24"/>
          <w:szCs w:val="24"/>
        </w:rPr>
        <w:t>, Mopti, Sikasso</w:t>
      </w:r>
    </w:p>
    <w:p w14:paraId="3365E985" w14:textId="69EE75D7" w:rsidR="00893B95" w:rsidRDefault="00893B95" w:rsidP="00893B95">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Au Togo la capital Lomé reste en </w:t>
      </w:r>
      <w:r w:rsidR="005166E8">
        <w:rPr>
          <w:rFonts w:ascii="Times New Roman" w:hAnsi="Times New Roman" w:cs="Times New Roman"/>
          <w:sz w:val="24"/>
          <w:szCs w:val="24"/>
        </w:rPr>
        <w:t>tête</w:t>
      </w:r>
      <w:r>
        <w:rPr>
          <w:rFonts w:ascii="Times New Roman" w:hAnsi="Times New Roman" w:cs="Times New Roman"/>
          <w:sz w:val="24"/>
          <w:szCs w:val="24"/>
        </w:rPr>
        <w:t xml:space="preserve"> de liste</w:t>
      </w:r>
    </w:p>
    <w:p w14:paraId="611855A4" w14:textId="4DDD253B" w:rsidR="00893B95" w:rsidRDefault="00893B95" w:rsidP="00893B95">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 </w:t>
      </w:r>
      <w:r w:rsidR="005166E8">
        <w:rPr>
          <w:rFonts w:ascii="Times New Roman" w:hAnsi="Times New Roman" w:cs="Times New Roman"/>
          <w:sz w:val="24"/>
          <w:szCs w:val="24"/>
        </w:rPr>
        <w:t>côte</w:t>
      </w:r>
      <w:r>
        <w:rPr>
          <w:rFonts w:ascii="Times New Roman" w:hAnsi="Times New Roman" w:cs="Times New Roman"/>
          <w:sz w:val="24"/>
          <w:szCs w:val="24"/>
        </w:rPr>
        <w:t xml:space="preserve"> d’ivoire la capital administrative </w:t>
      </w:r>
      <w:r w:rsidR="005166E8">
        <w:rPr>
          <w:rFonts w:ascii="Times New Roman" w:hAnsi="Times New Roman" w:cs="Times New Roman"/>
          <w:sz w:val="24"/>
          <w:szCs w:val="24"/>
        </w:rPr>
        <w:t>Yamoussoukro</w:t>
      </w:r>
      <w:r>
        <w:rPr>
          <w:rFonts w:ascii="Times New Roman" w:hAnsi="Times New Roman" w:cs="Times New Roman"/>
          <w:sz w:val="24"/>
          <w:szCs w:val="24"/>
        </w:rPr>
        <w:t xml:space="preserve"> est largement en </w:t>
      </w:r>
      <w:r w:rsidR="005166E8">
        <w:rPr>
          <w:rFonts w:ascii="Times New Roman" w:hAnsi="Times New Roman" w:cs="Times New Roman"/>
          <w:sz w:val="24"/>
          <w:szCs w:val="24"/>
        </w:rPr>
        <w:t>tête</w:t>
      </w:r>
      <w:r>
        <w:rPr>
          <w:rFonts w:ascii="Times New Roman" w:hAnsi="Times New Roman" w:cs="Times New Roman"/>
          <w:sz w:val="24"/>
          <w:szCs w:val="24"/>
        </w:rPr>
        <w:t xml:space="preserve"> d’Abidjan</w:t>
      </w:r>
    </w:p>
    <w:p w14:paraId="230C7BB5" w14:textId="77777777" w:rsidR="00893B95" w:rsidRPr="00893B95" w:rsidRDefault="00893B95" w:rsidP="00893B95">
      <w:pPr>
        <w:spacing w:line="360" w:lineRule="auto"/>
        <w:ind w:left="360"/>
        <w:jc w:val="both"/>
        <w:rPr>
          <w:rFonts w:ascii="Times New Roman" w:hAnsi="Times New Roman" w:cs="Times New Roman"/>
          <w:sz w:val="24"/>
          <w:szCs w:val="24"/>
        </w:rPr>
      </w:pPr>
    </w:p>
    <w:p w14:paraId="513C6C20" w14:textId="77777777" w:rsidR="00893B95" w:rsidRDefault="00893B95" w:rsidP="001826E9">
      <w:pPr>
        <w:spacing w:line="360" w:lineRule="auto"/>
        <w:jc w:val="both"/>
        <w:rPr>
          <w:rFonts w:ascii="Times New Roman" w:hAnsi="Times New Roman" w:cs="Times New Roman"/>
          <w:sz w:val="24"/>
          <w:szCs w:val="24"/>
        </w:rPr>
      </w:pPr>
    </w:p>
    <w:p w14:paraId="09012F16" w14:textId="4098BCC2" w:rsidR="00893B95" w:rsidRDefault="00893B95"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La majorité de ces villes rassemblent certains critères ou données qui expliquent leur positionnement comme villes à forte potentiels :</w:t>
      </w:r>
    </w:p>
    <w:p w14:paraId="6E6A0BBF" w14:textId="41D3556F" w:rsidR="00893B95" w:rsidRDefault="00893B95" w:rsidP="00893B95">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Une concentration démographique importante</w:t>
      </w:r>
    </w:p>
    <w:p w14:paraId="76B190FA" w14:textId="62AA4F11" w:rsidR="00893B95" w:rsidRDefault="00893B95" w:rsidP="00893B95">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Un pouvoir d’achat relativement élevé</w:t>
      </w:r>
    </w:p>
    <w:p w14:paraId="60C2BE5F" w14:textId="460C7201" w:rsidR="00893B95" w:rsidRDefault="00893B95" w:rsidP="00893B95">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Une meilleure infrastructure sanitaire</w:t>
      </w:r>
    </w:p>
    <w:p w14:paraId="674BE9B3" w14:textId="77777777" w:rsidR="001826E9" w:rsidRPr="005166E8" w:rsidRDefault="001826E9" w:rsidP="005166E8">
      <w:pPr>
        <w:spacing w:line="360" w:lineRule="auto"/>
        <w:jc w:val="both"/>
        <w:rPr>
          <w:rFonts w:ascii="Times New Roman" w:hAnsi="Times New Roman" w:cs="Times New Roman"/>
          <w:sz w:val="24"/>
          <w:szCs w:val="24"/>
        </w:rPr>
      </w:pPr>
      <w:r w:rsidRPr="005166E8">
        <w:rPr>
          <w:rFonts w:ascii="Times New Roman" w:hAnsi="Times New Roman" w:cs="Times New Roman"/>
          <w:sz w:val="24"/>
          <w:szCs w:val="24"/>
        </w:rPr>
        <w:t>Ces zones doivent être considérées comme des pôles stratégiques de consolidation et d’investissement.</w:t>
      </w:r>
    </w:p>
    <w:p w14:paraId="665168DE" w14:textId="6862FF5D" w:rsidR="001826E9" w:rsidRPr="001826E9" w:rsidRDefault="001826E9" w:rsidP="001826E9">
      <w:pPr>
        <w:spacing w:line="360" w:lineRule="auto"/>
        <w:jc w:val="both"/>
        <w:rPr>
          <w:rFonts w:ascii="Times New Roman" w:hAnsi="Times New Roman" w:cs="Times New Roman"/>
          <w:sz w:val="24"/>
          <w:szCs w:val="24"/>
        </w:rPr>
      </w:pPr>
    </w:p>
    <w:p w14:paraId="5C30FB9E" w14:textId="77777777" w:rsidR="001826E9" w:rsidRPr="001826E9" w:rsidRDefault="001826E9" w:rsidP="001D0C92">
      <w:pPr>
        <w:pStyle w:val="Heading1"/>
      </w:pPr>
      <w:r w:rsidRPr="001826E9">
        <w:t>6. Villes Sous-Performantes</w:t>
      </w:r>
    </w:p>
    <w:p w14:paraId="5E31B69C" w14:textId="77777777" w:rsidR="001826E9" w:rsidRDefault="001826E9" w:rsidP="001826E9">
      <w:pPr>
        <w:spacing w:line="360" w:lineRule="auto"/>
        <w:jc w:val="both"/>
        <w:rPr>
          <w:rFonts w:ascii="Times New Roman" w:hAnsi="Times New Roman" w:cs="Times New Roman"/>
          <w:sz w:val="24"/>
          <w:szCs w:val="24"/>
        </w:rPr>
      </w:pPr>
      <w:r w:rsidRPr="001826E9">
        <w:rPr>
          <w:rFonts w:ascii="Times New Roman" w:hAnsi="Times New Roman" w:cs="Times New Roman"/>
          <w:sz w:val="24"/>
          <w:szCs w:val="24"/>
        </w:rPr>
        <w:t>Certaines villes présentent une performance inférieure au potentiel attendu.</w:t>
      </w:r>
    </w:p>
    <w:p w14:paraId="67464223" w14:textId="62445C73" w:rsidR="00893B95" w:rsidRDefault="00893B95" w:rsidP="001826E9">
      <w:pPr>
        <w:spacing w:line="360" w:lineRule="auto"/>
        <w:jc w:val="both"/>
        <w:rPr>
          <w:rFonts w:ascii="Times New Roman" w:hAnsi="Times New Roman" w:cs="Times New Roman"/>
          <w:sz w:val="24"/>
          <w:szCs w:val="24"/>
        </w:rPr>
      </w:pPr>
      <w:r w:rsidRPr="00DD436D">
        <w:rPr>
          <w:rFonts w:ascii="Times New Roman" w:hAnsi="Times New Roman" w:cs="Times New Roman"/>
          <w:b/>
          <w:bCs/>
          <w:sz w:val="24"/>
          <w:szCs w:val="24"/>
        </w:rPr>
        <w:t>Abidjan,</w:t>
      </w:r>
      <w:r>
        <w:rPr>
          <w:rFonts w:ascii="Times New Roman" w:hAnsi="Times New Roman" w:cs="Times New Roman"/>
          <w:sz w:val="24"/>
          <w:szCs w:val="24"/>
        </w:rPr>
        <w:t xml:space="preserve"> est connu pour être le poumon économique à cet instar nous écartons de notre analyse le faible pouvoir d’achat de la population. L’accent est mis sur une forte concurrence potentiel, une saturation du marché. Une stratégie commerciale insuffisamment adaptée.</w:t>
      </w:r>
    </w:p>
    <w:p w14:paraId="244A03CF" w14:textId="5E7BBFCE" w:rsidR="001826E9" w:rsidRDefault="00893B95"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Au Benin, pays proche nous remarquons qu’aucune ville ne dépasse un chiffre d’affaires de 500. 000</w:t>
      </w:r>
      <w:r w:rsidR="007F7AD9">
        <w:rPr>
          <w:rFonts w:ascii="Times New Roman" w:hAnsi="Times New Roman" w:cs="Times New Roman"/>
          <w:sz w:val="24"/>
          <w:szCs w:val="24"/>
        </w:rPr>
        <w:t xml:space="preserve"> €</w:t>
      </w:r>
      <w:r>
        <w:rPr>
          <w:rFonts w:ascii="Times New Roman" w:hAnsi="Times New Roman" w:cs="Times New Roman"/>
          <w:sz w:val="24"/>
          <w:szCs w:val="24"/>
        </w:rPr>
        <w:t>.</w:t>
      </w:r>
      <w:r w:rsidR="007F7AD9">
        <w:rPr>
          <w:rFonts w:ascii="Times New Roman" w:hAnsi="Times New Roman" w:cs="Times New Roman"/>
          <w:sz w:val="24"/>
          <w:szCs w:val="24"/>
        </w:rPr>
        <w:t xml:space="preserve"> </w:t>
      </w:r>
      <w:r w:rsidRPr="00DD436D">
        <w:rPr>
          <w:rFonts w:ascii="Times New Roman" w:hAnsi="Times New Roman" w:cs="Times New Roman"/>
          <w:b/>
          <w:bCs/>
          <w:sz w:val="24"/>
          <w:szCs w:val="24"/>
        </w:rPr>
        <w:t>Abomey</w:t>
      </w:r>
      <w:r w:rsidR="001826E9" w:rsidRPr="001826E9">
        <w:rPr>
          <w:rFonts w:ascii="Times New Roman" w:hAnsi="Times New Roman" w:cs="Times New Roman"/>
          <w:b/>
          <w:bCs/>
          <w:sz w:val="24"/>
          <w:szCs w:val="24"/>
        </w:rPr>
        <w:t xml:space="preserve"> et Porto-Novo</w:t>
      </w:r>
      <w:r w:rsidR="001826E9" w:rsidRPr="001826E9">
        <w:rPr>
          <w:rFonts w:ascii="Times New Roman" w:hAnsi="Times New Roman" w:cs="Times New Roman"/>
          <w:sz w:val="24"/>
          <w:szCs w:val="24"/>
        </w:rPr>
        <w:t xml:space="preserve"> tournent autour de 300 000</w:t>
      </w:r>
      <w:r w:rsidR="007F7AD9">
        <w:rPr>
          <w:rFonts w:ascii="Times New Roman" w:hAnsi="Times New Roman" w:cs="Times New Roman"/>
          <w:sz w:val="24"/>
          <w:szCs w:val="24"/>
        </w:rPr>
        <w:t xml:space="preserve"> €. Cela</w:t>
      </w:r>
      <w:r w:rsidR="001826E9" w:rsidRPr="001826E9">
        <w:rPr>
          <w:rFonts w:ascii="Times New Roman" w:hAnsi="Times New Roman" w:cs="Times New Roman"/>
          <w:sz w:val="24"/>
          <w:szCs w:val="24"/>
        </w:rPr>
        <w:t xml:space="preserve"> peut s’expliquer par :</w:t>
      </w:r>
    </w:p>
    <w:p w14:paraId="7AEBE1A7" w14:textId="35E5CB3B" w:rsidR="00893B95" w:rsidRDefault="00893B95" w:rsidP="00893B95">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Un pouvoir d’achat faible</w:t>
      </w:r>
    </w:p>
    <w:p w14:paraId="188133FB" w14:textId="10BF401F" w:rsidR="00893B95" w:rsidRPr="00893B95" w:rsidRDefault="00893B95" w:rsidP="00893B95">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Une densité pharmaceutique réduite</w:t>
      </w:r>
    </w:p>
    <w:p w14:paraId="57ABC602" w14:textId="4968C944" w:rsidR="001826E9" w:rsidRPr="001826E9" w:rsidRDefault="001826E9" w:rsidP="001826E9">
      <w:pPr>
        <w:spacing w:line="360" w:lineRule="auto"/>
        <w:jc w:val="both"/>
        <w:rPr>
          <w:rFonts w:ascii="Times New Roman" w:hAnsi="Times New Roman" w:cs="Times New Roman"/>
          <w:sz w:val="24"/>
          <w:szCs w:val="24"/>
        </w:rPr>
      </w:pPr>
      <w:r w:rsidRPr="001826E9">
        <w:rPr>
          <w:rFonts w:ascii="Times New Roman" w:hAnsi="Times New Roman" w:cs="Times New Roman"/>
          <w:sz w:val="24"/>
          <w:szCs w:val="24"/>
        </w:rPr>
        <w:t xml:space="preserve">Au </w:t>
      </w:r>
      <w:r w:rsidRPr="001826E9">
        <w:rPr>
          <w:rFonts w:ascii="Times New Roman" w:hAnsi="Times New Roman" w:cs="Times New Roman"/>
          <w:b/>
          <w:bCs/>
          <w:sz w:val="24"/>
          <w:szCs w:val="24"/>
        </w:rPr>
        <w:t>Sénégal</w:t>
      </w:r>
      <w:r w:rsidRPr="001826E9">
        <w:rPr>
          <w:rFonts w:ascii="Times New Roman" w:hAnsi="Times New Roman" w:cs="Times New Roman"/>
          <w:sz w:val="24"/>
          <w:szCs w:val="24"/>
        </w:rPr>
        <w:t xml:space="preserve">, le faible niveau global peut refléter une faible pénétration du marché ou une part de marché </w:t>
      </w:r>
      <w:r w:rsidR="00893B95" w:rsidRPr="001826E9">
        <w:rPr>
          <w:rFonts w:ascii="Times New Roman" w:hAnsi="Times New Roman" w:cs="Times New Roman"/>
          <w:sz w:val="24"/>
          <w:szCs w:val="24"/>
        </w:rPr>
        <w:t>insuffisante.</w:t>
      </w:r>
      <w:r w:rsidR="00893B95">
        <w:rPr>
          <w:rFonts w:ascii="Times New Roman" w:hAnsi="Times New Roman" w:cs="Times New Roman"/>
          <w:sz w:val="24"/>
          <w:szCs w:val="24"/>
        </w:rPr>
        <w:t xml:space="preserve"> L’analyse de la concurrence est nécessaire.</w:t>
      </w:r>
    </w:p>
    <w:p w14:paraId="73D824F9" w14:textId="77777777" w:rsidR="001826E9" w:rsidRPr="001826E9" w:rsidRDefault="001826E9" w:rsidP="001826E9">
      <w:pPr>
        <w:spacing w:line="360" w:lineRule="auto"/>
        <w:jc w:val="both"/>
        <w:rPr>
          <w:rFonts w:ascii="Times New Roman" w:hAnsi="Times New Roman" w:cs="Times New Roman"/>
          <w:sz w:val="24"/>
          <w:szCs w:val="24"/>
        </w:rPr>
      </w:pPr>
      <w:r w:rsidRPr="001826E9">
        <w:rPr>
          <w:rFonts w:ascii="Times New Roman" w:hAnsi="Times New Roman" w:cs="Times New Roman"/>
          <w:sz w:val="24"/>
          <w:szCs w:val="24"/>
        </w:rPr>
        <w:t>Les zones rurales restent structurellement moins performantes en raison d’un pouvoir d’achat plus limité et d’une demande plus concentrée sur les produits essentiels.</w:t>
      </w:r>
    </w:p>
    <w:p w14:paraId="460F5406" w14:textId="38EB7DB5" w:rsidR="001826E9" w:rsidRPr="001826E9" w:rsidRDefault="001826E9" w:rsidP="001826E9">
      <w:pPr>
        <w:spacing w:line="360" w:lineRule="auto"/>
        <w:jc w:val="both"/>
        <w:rPr>
          <w:rFonts w:ascii="Times New Roman" w:hAnsi="Times New Roman" w:cs="Times New Roman"/>
          <w:sz w:val="24"/>
          <w:szCs w:val="24"/>
        </w:rPr>
      </w:pPr>
    </w:p>
    <w:p w14:paraId="34867F4F" w14:textId="67D4EDBC" w:rsidR="001826E9" w:rsidRPr="001D0C92" w:rsidRDefault="001826E9" w:rsidP="001D0C92">
      <w:pPr>
        <w:pStyle w:val="Heading1"/>
      </w:pPr>
      <w:r w:rsidRPr="001826E9">
        <w:t>7. Stratégie Géographique Différenciée</w:t>
      </w:r>
    </w:p>
    <w:p w14:paraId="142E472E" w14:textId="316B0FCB" w:rsidR="001826E9" w:rsidRDefault="001826E9" w:rsidP="001826E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Dans les villes à forte potentiel comme </w:t>
      </w:r>
      <w:r w:rsidRPr="00893B95">
        <w:rPr>
          <w:rFonts w:ascii="Times New Roman" w:hAnsi="Times New Roman" w:cs="Times New Roman"/>
          <w:b/>
          <w:bCs/>
          <w:sz w:val="24"/>
          <w:szCs w:val="24"/>
        </w:rPr>
        <w:t>Agadez</w:t>
      </w:r>
      <w:r>
        <w:rPr>
          <w:rFonts w:ascii="Times New Roman" w:hAnsi="Times New Roman" w:cs="Times New Roman"/>
          <w:sz w:val="24"/>
          <w:szCs w:val="24"/>
        </w:rPr>
        <w:t xml:space="preserve"> et </w:t>
      </w:r>
      <w:r w:rsidRPr="00893B95">
        <w:rPr>
          <w:rFonts w:ascii="Times New Roman" w:hAnsi="Times New Roman" w:cs="Times New Roman"/>
          <w:b/>
          <w:bCs/>
          <w:sz w:val="24"/>
          <w:szCs w:val="24"/>
        </w:rPr>
        <w:t>Zinder</w:t>
      </w:r>
      <w:r>
        <w:rPr>
          <w:rFonts w:ascii="Times New Roman" w:hAnsi="Times New Roman" w:cs="Times New Roman"/>
          <w:sz w:val="24"/>
          <w:szCs w:val="24"/>
        </w:rPr>
        <w:t xml:space="preserve"> au </w:t>
      </w:r>
      <w:r w:rsidR="00893B95" w:rsidRPr="00893B95">
        <w:rPr>
          <w:rFonts w:ascii="Times New Roman" w:hAnsi="Times New Roman" w:cs="Times New Roman"/>
          <w:b/>
          <w:bCs/>
          <w:sz w:val="24"/>
          <w:szCs w:val="24"/>
        </w:rPr>
        <w:t>Niger</w:t>
      </w:r>
      <w:r w:rsidR="00893B95">
        <w:rPr>
          <w:rFonts w:ascii="Times New Roman" w:hAnsi="Times New Roman" w:cs="Times New Roman"/>
          <w:sz w:val="24"/>
          <w:szCs w:val="24"/>
        </w:rPr>
        <w:t>,</w:t>
      </w:r>
      <w:r>
        <w:rPr>
          <w:rFonts w:ascii="Times New Roman" w:hAnsi="Times New Roman" w:cs="Times New Roman"/>
          <w:sz w:val="24"/>
          <w:szCs w:val="24"/>
        </w:rPr>
        <w:t xml:space="preserve"> nous devons partir sur l’augmentation des produits qui se vendent bien comme les produits de la catégorie </w:t>
      </w:r>
      <w:r w:rsidR="00893B95" w:rsidRPr="00893B95">
        <w:rPr>
          <w:rFonts w:ascii="Times New Roman" w:hAnsi="Times New Roman" w:cs="Times New Roman"/>
          <w:b/>
          <w:bCs/>
          <w:sz w:val="24"/>
          <w:szCs w:val="24"/>
        </w:rPr>
        <w:t>Bien-être</w:t>
      </w:r>
      <w:r>
        <w:rPr>
          <w:rFonts w:ascii="Times New Roman" w:hAnsi="Times New Roman" w:cs="Times New Roman"/>
          <w:sz w:val="24"/>
          <w:szCs w:val="24"/>
        </w:rPr>
        <w:t xml:space="preserve"> et des </w:t>
      </w:r>
      <w:r w:rsidRPr="00893B95">
        <w:rPr>
          <w:rFonts w:ascii="Times New Roman" w:hAnsi="Times New Roman" w:cs="Times New Roman"/>
          <w:b/>
          <w:bCs/>
          <w:sz w:val="24"/>
          <w:szCs w:val="24"/>
        </w:rPr>
        <w:t>soins personnels</w:t>
      </w:r>
      <w:r>
        <w:rPr>
          <w:rFonts w:ascii="Times New Roman" w:hAnsi="Times New Roman" w:cs="Times New Roman"/>
          <w:sz w:val="24"/>
          <w:szCs w:val="24"/>
        </w:rPr>
        <w:t xml:space="preserve">. Aussi s’assurer de la présence des produits de prescription et faire attention pour ne pas avoir de rupture. Pour les villes moins performantes analyser les concurrents </w:t>
      </w:r>
      <w:r w:rsidR="00893B95">
        <w:rPr>
          <w:rFonts w:ascii="Times New Roman" w:hAnsi="Times New Roman" w:cs="Times New Roman"/>
          <w:sz w:val="24"/>
          <w:szCs w:val="24"/>
        </w:rPr>
        <w:t>potentiellement</w:t>
      </w:r>
      <w:r>
        <w:rPr>
          <w:rFonts w:ascii="Times New Roman" w:hAnsi="Times New Roman" w:cs="Times New Roman"/>
          <w:sz w:val="24"/>
          <w:szCs w:val="24"/>
        </w:rPr>
        <w:t xml:space="preserve"> présents et comment l’on peut se différencier aussi à coté de cela </w:t>
      </w:r>
      <w:r w:rsidR="00893B95">
        <w:rPr>
          <w:rFonts w:ascii="Times New Roman" w:hAnsi="Times New Roman" w:cs="Times New Roman"/>
          <w:sz w:val="24"/>
          <w:szCs w:val="24"/>
        </w:rPr>
        <w:t>faire des analyses sur le pouvoir d’achat de la population et voir comment adapter notre portefeuille produit pour répondre à ce segment de notre marché.</w:t>
      </w:r>
    </w:p>
    <w:p w14:paraId="2267D661" w14:textId="77777777" w:rsidR="00A8776D" w:rsidRDefault="00A8776D" w:rsidP="00A8776D">
      <w:pPr>
        <w:spacing w:line="360" w:lineRule="auto"/>
        <w:jc w:val="both"/>
        <w:rPr>
          <w:rFonts w:ascii="Times New Roman" w:hAnsi="Times New Roman" w:cs="Times New Roman"/>
          <w:sz w:val="24"/>
          <w:szCs w:val="24"/>
        </w:rPr>
      </w:pPr>
    </w:p>
    <w:p w14:paraId="59C6FE9F" w14:textId="539E717B" w:rsidR="00A8776D" w:rsidRDefault="00A8776D" w:rsidP="00A8776D">
      <w:pPr>
        <w:pStyle w:val="Heading1"/>
      </w:pPr>
      <w:r>
        <w:t>RECOMMANDATIONS</w:t>
      </w:r>
    </w:p>
    <w:p w14:paraId="072F01AC" w14:textId="77777777" w:rsidR="001826E9" w:rsidRPr="001826E9" w:rsidRDefault="001826E9" w:rsidP="001826E9">
      <w:pPr>
        <w:spacing w:line="360" w:lineRule="auto"/>
        <w:jc w:val="both"/>
        <w:rPr>
          <w:rFonts w:ascii="Times New Roman" w:hAnsi="Times New Roman" w:cs="Times New Roman"/>
          <w:sz w:val="24"/>
          <w:szCs w:val="24"/>
        </w:rPr>
      </w:pPr>
      <w:r w:rsidRPr="001826E9">
        <w:rPr>
          <w:rFonts w:ascii="Times New Roman" w:hAnsi="Times New Roman" w:cs="Times New Roman"/>
          <w:sz w:val="24"/>
          <w:szCs w:val="24"/>
        </w:rPr>
        <w:t>Au regard des analyses précédentes, plusieurs actions prioritaires doivent être mises en place afin de relancer la croissance et consolider la rentabilité.</w:t>
      </w:r>
    </w:p>
    <w:p w14:paraId="315FCC8C" w14:textId="77777777" w:rsidR="001826E9" w:rsidRPr="001826E9" w:rsidRDefault="001826E9" w:rsidP="001826E9">
      <w:pPr>
        <w:spacing w:line="360" w:lineRule="auto"/>
        <w:jc w:val="both"/>
        <w:rPr>
          <w:rFonts w:ascii="Times New Roman" w:hAnsi="Times New Roman" w:cs="Times New Roman"/>
          <w:sz w:val="24"/>
          <w:szCs w:val="24"/>
        </w:rPr>
      </w:pPr>
      <w:r w:rsidRPr="001826E9">
        <w:rPr>
          <w:rFonts w:ascii="Times New Roman" w:hAnsi="Times New Roman" w:cs="Times New Roman"/>
          <w:b/>
          <w:bCs/>
          <w:color w:val="4472C4" w:themeColor="accent1"/>
          <w:sz w:val="24"/>
          <w:szCs w:val="24"/>
        </w:rPr>
        <w:lastRenderedPageBreak/>
        <w:t>Premièrement</w:t>
      </w:r>
      <w:r w:rsidRPr="001826E9">
        <w:rPr>
          <w:rFonts w:ascii="Times New Roman" w:hAnsi="Times New Roman" w:cs="Times New Roman"/>
          <w:b/>
          <w:bCs/>
          <w:sz w:val="24"/>
          <w:szCs w:val="24"/>
        </w:rPr>
        <w:t>,</w:t>
      </w:r>
      <w:r w:rsidRPr="001826E9">
        <w:rPr>
          <w:rFonts w:ascii="Times New Roman" w:hAnsi="Times New Roman" w:cs="Times New Roman"/>
          <w:sz w:val="24"/>
          <w:szCs w:val="24"/>
        </w:rPr>
        <w:t xml:space="preserve"> il est fortement recommandé de revoir la stratégie d’arrêt des produits. Les </w:t>
      </w:r>
      <w:r w:rsidRPr="001826E9">
        <w:rPr>
          <w:rFonts w:ascii="Times New Roman" w:hAnsi="Times New Roman" w:cs="Times New Roman"/>
          <w:b/>
          <w:bCs/>
          <w:sz w:val="24"/>
          <w:szCs w:val="24"/>
        </w:rPr>
        <w:t>produits du Top 10 tels que le Produit 146, le Produit 53, le Produit 62, le Produit 11 et le Produit 22</w:t>
      </w:r>
      <w:r w:rsidRPr="001826E9">
        <w:rPr>
          <w:rFonts w:ascii="Times New Roman" w:hAnsi="Times New Roman" w:cs="Times New Roman"/>
          <w:sz w:val="24"/>
          <w:szCs w:val="24"/>
        </w:rPr>
        <w:t xml:space="preserve"> faisaient partie des principaux moteurs de chiffre d’affaires et appartiennent majoritairement aux catégories Bien-être, Équipements médicaux et Prescription. Leur arrêt a contribué à la baisse progressive de la croissance. Il est donc nécessaire d’analyser les raisons de leur suppression et d’envisager leur réintégration ou leur remplacement par des produits équivalents à fort potentiel. À l’avenir, toute décision d’arrêt devra être basée sur la contribution au chiffre d’affaires, à la marge et au volume.</w:t>
      </w:r>
    </w:p>
    <w:p w14:paraId="4336DF04" w14:textId="77777777" w:rsidR="001826E9" w:rsidRPr="001826E9" w:rsidRDefault="001826E9" w:rsidP="001826E9">
      <w:pPr>
        <w:spacing w:line="360" w:lineRule="auto"/>
        <w:jc w:val="both"/>
        <w:rPr>
          <w:rFonts w:ascii="Times New Roman" w:hAnsi="Times New Roman" w:cs="Times New Roman"/>
          <w:sz w:val="24"/>
          <w:szCs w:val="24"/>
        </w:rPr>
      </w:pPr>
      <w:r w:rsidRPr="001826E9">
        <w:rPr>
          <w:rFonts w:ascii="Times New Roman" w:hAnsi="Times New Roman" w:cs="Times New Roman"/>
          <w:b/>
          <w:bCs/>
          <w:color w:val="4472C4" w:themeColor="accent1"/>
          <w:sz w:val="24"/>
          <w:szCs w:val="24"/>
        </w:rPr>
        <w:t>Deuxièmement,</w:t>
      </w:r>
      <w:r w:rsidRPr="001826E9">
        <w:rPr>
          <w:rFonts w:ascii="Times New Roman" w:hAnsi="Times New Roman" w:cs="Times New Roman"/>
          <w:color w:val="4472C4" w:themeColor="accent1"/>
          <w:sz w:val="24"/>
          <w:szCs w:val="24"/>
        </w:rPr>
        <w:t xml:space="preserve"> </w:t>
      </w:r>
      <w:r w:rsidRPr="001826E9">
        <w:rPr>
          <w:rFonts w:ascii="Times New Roman" w:hAnsi="Times New Roman" w:cs="Times New Roman"/>
          <w:sz w:val="24"/>
          <w:szCs w:val="24"/>
        </w:rPr>
        <w:t xml:space="preserve">il est recommandé de structurer le portefeuille produit. Les catégories </w:t>
      </w:r>
      <w:r w:rsidRPr="001826E9">
        <w:rPr>
          <w:rFonts w:ascii="Times New Roman" w:hAnsi="Times New Roman" w:cs="Times New Roman"/>
          <w:b/>
          <w:bCs/>
          <w:sz w:val="24"/>
          <w:szCs w:val="24"/>
        </w:rPr>
        <w:t>Prescription, Soins personnels et Bien-être</w:t>
      </w:r>
      <w:r w:rsidRPr="001826E9">
        <w:rPr>
          <w:rFonts w:ascii="Times New Roman" w:hAnsi="Times New Roman" w:cs="Times New Roman"/>
          <w:sz w:val="24"/>
          <w:szCs w:val="24"/>
        </w:rPr>
        <w:t xml:space="preserve"> génèrent des niveaux de chiffre d’affaires et de marge très stables avec ou sans promotion. Cela montre une demande structurelle forte. Ces segments doivent être considérés comme stratégiques et bénéficier d’une gestion prioritaire des stocks afin d’éviter les ruptures.</w:t>
      </w:r>
    </w:p>
    <w:p w14:paraId="2B167339" w14:textId="77777777" w:rsidR="001826E9" w:rsidRPr="001826E9" w:rsidRDefault="001826E9" w:rsidP="001826E9">
      <w:pPr>
        <w:spacing w:line="360" w:lineRule="auto"/>
        <w:jc w:val="both"/>
        <w:rPr>
          <w:rFonts w:ascii="Times New Roman" w:hAnsi="Times New Roman" w:cs="Times New Roman"/>
          <w:sz w:val="24"/>
          <w:szCs w:val="24"/>
        </w:rPr>
      </w:pPr>
      <w:r w:rsidRPr="001826E9">
        <w:rPr>
          <w:rFonts w:ascii="Times New Roman" w:hAnsi="Times New Roman" w:cs="Times New Roman"/>
          <w:b/>
          <w:bCs/>
          <w:color w:val="4472C4" w:themeColor="accent1"/>
          <w:sz w:val="24"/>
          <w:szCs w:val="24"/>
        </w:rPr>
        <w:t>Troisièmement,</w:t>
      </w:r>
      <w:r w:rsidRPr="001826E9">
        <w:rPr>
          <w:rFonts w:ascii="Times New Roman" w:hAnsi="Times New Roman" w:cs="Times New Roman"/>
          <w:color w:val="4472C4" w:themeColor="accent1"/>
          <w:sz w:val="24"/>
          <w:szCs w:val="24"/>
        </w:rPr>
        <w:t xml:space="preserve"> </w:t>
      </w:r>
      <w:r w:rsidRPr="001826E9">
        <w:rPr>
          <w:rFonts w:ascii="Times New Roman" w:hAnsi="Times New Roman" w:cs="Times New Roman"/>
          <w:sz w:val="24"/>
          <w:szCs w:val="24"/>
        </w:rPr>
        <w:t>concernant les promotions, les données montrent que le chiffre d’affaires et la marge restent relativement proches avec ou sans promotion. Le taux de marge en période promotionnelle reste supérieur à 40 %, ce qui est satisfaisant. Il est donc recommandé de maintenir les promotions mais de manière ciblée, notamment sur les produits à forte rotation ou sur les villes à potentiel moyen afin de stimuler la demande sans créer une dépendance excessive.</w:t>
      </w:r>
    </w:p>
    <w:p w14:paraId="174F1239" w14:textId="77777777" w:rsidR="001826E9" w:rsidRPr="001826E9" w:rsidRDefault="001826E9" w:rsidP="001826E9">
      <w:pPr>
        <w:spacing w:line="360" w:lineRule="auto"/>
        <w:jc w:val="both"/>
        <w:rPr>
          <w:rFonts w:ascii="Times New Roman" w:hAnsi="Times New Roman" w:cs="Times New Roman"/>
          <w:sz w:val="24"/>
          <w:szCs w:val="24"/>
        </w:rPr>
      </w:pPr>
      <w:r w:rsidRPr="001826E9">
        <w:rPr>
          <w:rFonts w:ascii="Times New Roman" w:hAnsi="Times New Roman" w:cs="Times New Roman"/>
          <w:b/>
          <w:bCs/>
          <w:color w:val="4472C4" w:themeColor="accent1"/>
          <w:sz w:val="24"/>
          <w:szCs w:val="24"/>
        </w:rPr>
        <w:t>Quatrièmement</w:t>
      </w:r>
      <w:r w:rsidRPr="001826E9">
        <w:rPr>
          <w:rFonts w:ascii="Times New Roman" w:hAnsi="Times New Roman" w:cs="Times New Roman"/>
          <w:sz w:val="24"/>
          <w:szCs w:val="24"/>
        </w:rPr>
        <w:t xml:space="preserve">, une stratégie géographique différenciée doit être adoptée. Les villes à fort potentiel comme </w:t>
      </w:r>
      <w:r w:rsidRPr="001826E9">
        <w:rPr>
          <w:rFonts w:ascii="Times New Roman" w:hAnsi="Times New Roman" w:cs="Times New Roman"/>
          <w:b/>
          <w:bCs/>
          <w:sz w:val="24"/>
          <w:szCs w:val="24"/>
        </w:rPr>
        <w:t xml:space="preserve">Lomé, </w:t>
      </w:r>
      <w:proofErr w:type="spellStart"/>
      <w:r w:rsidRPr="001826E9">
        <w:rPr>
          <w:rFonts w:ascii="Times New Roman" w:hAnsi="Times New Roman" w:cs="Times New Roman"/>
          <w:b/>
          <w:bCs/>
          <w:sz w:val="24"/>
          <w:szCs w:val="24"/>
        </w:rPr>
        <w:t>Yamoussokro</w:t>
      </w:r>
      <w:proofErr w:type="spellEnd"/>
      <w:r w:rsidRPr="001826E9">
        <w:rPr>
          <w:rFonts w:ascii="Times New Roman" w:hAnsi="Times New Roman" w:cs="Times New Roman"/>
          <w:b/>
          <w:bCs/>
          <w:sz w:val="24"/>
          <w:szCs w:val="24"/>
        </w:rPr>
        <w:t>, Zinder et Bobo-Dioulasso</w:t>
      </w:r>
      <w:r w:rsidRPr="001826E9">
        <w:rPr>
          <w:rFonts w:ascii="Times New Roman" w:hAnsi="Times New Roman" w:cs="Times New Roman"/>
          <w:sz w:val="24"/>
          <w:szCs w:val="24"/>
        </w:rPr>
        <w:t xml:space="preserve"> doivent devenir des zones prioritaires d’investissement. Cela implique un renforcement des stocks des Top 10 produits, une meilleure disponibilité des catégories Bien-être et Soins personnels, ainsi qu’un suivi rapproché des performances.</w:t>
      </w:r>
    </w:p>
    <w:p w14:paraId="4F7AD73E" w14:textId="77777777" w:rsidR="001826E9" w:rsidRPr="001826E9" w:rsidRDefault="001826E9" w:rsidP="001826E9">
      <w:pPr>
        <w:spacing w:line="360" w:lineRule="auto"/>
        <w:jc w:val="both"/>
        <w:rPr>
          <w:rFonts w:ascii="Times New Roman" w:hAnsi="Times New Roman" w:cs="Times New Roman"/>
          <w:sz w:val="24"/>
          <w:szCs w:val="24"/>
        </w:rPr>
      </w:pPr>
      <w:r w:rsidRPr="001826E9">
        <w:rPr>
          <w:rFonts w:ascii="Times New Roman" w:hAnsi="Times New Roman" w:cs="Times New Roman"/>
          <w:sz w:val="24"/>
          <w:szCs w:val="24"/>
        </w:rPr>
        <w:t xml:space="preserve">Pour les villes sous-performantes comme Abidjan ou certaines villes du Bénin et du Sénégal, une analyse approfondie est nécessaire. Il faut étudier la concurrence locale, le pouvoir d’achat de la population, la présence d’éventuelles ruptures de stock et l’adéquation du portefeuille produit avec la demande locale. Dans ces zones, l’offre pourrait être recentrée sur les produits essentiels à forte rotation, notamment les </w:t>
      </w:r>
      <w:r w:rsidRPr="001826E9">
        <w:rPr>
          <w:rFonts w:ascii="Times New Roman" w:hAnsi="Times New Roman" w:cs="Times New Roman"/>
          <w:b/>
          <w:bCs/>
          <w:sz w:val="24"/>
          <w:szCs w:val="24"/>
        </w:rPr>
        <w:t>Prescriptions et les OTC</w:t>
      </w:r>
      <w:r w:rsidRPr="001826E9">
        <w:rPr>
          <w:rFonts w:ascii="Times New Roman" w:hAnsi="Times New Roman" w:cs="Times New Roman"/>
          <w:sz w:val="24"/>
          <w:szCs w:val="24"/>
        </w:rPr>
        <w:t>.</w:t>
      </w:r>
    </w:p>
    <w:p w14:paraId="5F189940" w14:textId="77777777" w:rsidR="00DD436D" w:rsidRDefault="00DD436D" w:rsidP="001826E9">
      <w:pPr>
        <w:spacing w:line="360" w:lineRule="auto"/>
        <w:jc w:val="both"/>
        <w:rPr>
          <w:rFonts w:ascii="Times New Roman" w:hAnsi="Times New Roman" w:cs="Times New Roman"/>
          <w:b/>
          <w:bCs/>
          <w:color w:val="4472C4" w:themeColor="accent1"/>
          <w:sz w:val="24"/>
          <w:szCs w:val="24"/>
        </w:rPr>
      </w:pPr>
    </w:p>
    <w:p w14:paraId="3E6090CD" w14:textId="6ED43C42" w:rsidR="001826E9" w:rsidRPr="001826E9" w:rsidRDefault="001826E9" w:rsidP="001826E9">
      <w:pPr>
        <w:spacing w:line="360" w:lineRule="auto"/>
        <w:jc w:val="both"/>
        <w:rPr>
          <w:rFonts w:ascii="Times New Roman" w:hAnsi="Times New Roman" w:cs="Times New Roman"/>
          <w:sz w:val="24"/>
          <w:szCs w:val="24"/>
        </w:rPr>
      </w:pPr>
      <w:r w:rsidRPr="001826E9">
        <w:rPr>
          <w:rFonts w:ascii="Times New Roman" w:hAnsi="Times New Roman" w:cs="Times New Roman"/>
          <w:sz w:val="24"/>
          <w:szCs w:val="24"/>
        </w:rPr>
        <w:lastRenderedPageBreak/>
        <w:t>Enfin, une attention particulière doit être portée à l’équilibre entre expansion et stabilisation. Avant d’envisager l’ouverture ou le renforcement dans de nouvelles zones, il est stratégique de consolider les marchés déjà rentables et de corriger les zones sous-performantes.</w:t>
      </w:r>
    </w:p>
    <w:p w14:paraId="199FD547" w14:textId="77777777" w:rsidR="001826E9" w:rsidRPr="001826E9" w:rsidRDefault="001826E9" w:rsidP="001826E9">
      <w:pPr>
        <w:spacing w:line="360" w:lineRule="auto"/>
        <w:jc w:val="both"/>
        <w:rPr>
          <w:rFonts w:ascii="Times New Roman" w:hAnsi="Times New Roman" w:cs="Times New Roman"/>
          <w:sz w:val="24"/>
          <w:szCs w:val="24"/>
        </w:rPr>
      </w:pPr>
      <w:r w:rsidRPr="001826E9">
        <w:rPr>
          <w:rFonts w:ascii="Times New Roman" w:hAnsi="Times New Roman" w:cs="Times New Roman"/>
          <w:sz w:val="24"/>
          <w:szCs w:val="24"/>
        </w:rPr>
        <w:t>En résumé, la priorité doit être donnée à la gestion stratégique du portefeuille produit, à l’optimisation géographique et à un pilotage plus fin de la performance afin de transformer une entreprise rentable en entreprise à croissance durable.</w:t>
      </w:r>
    </w:p>
    <w:p w14:paraId="6E2C209F" w14:textId="77777777" w:rsidR="00A8776D" w:rsidRPr="00A8776D" w:rsidRDefault="00A8776D" w:rsidP="00A8776D">
      <w:pPr>
        <w:spacing w:line="360" w:lineRule="auto"/>
        <w:jc w:val="both"/>
        <w:rPr>
          <w:rFonts w:ascii="Times New Roman" w:hAnsi="Times New Roman" w:cs="Times New Roman"/>
          <w:sz w:val="24"/>
          <w:szCs w:val="24"/>
        </w:rPr>
      </w:pPr>
    </w:p>
    <w:p w14:paraId="2DEC6D4C" w14:textId="77777777" w:rsidR="00A8776D" w:rsidRPr="00A8776D" w:rsidRDefault="00A8776D" w:rsidP="00A8776D">
      <w:pPr>
        <w:spacing w:line="360" w:lineRule="auto"/>
        <w:jc w:val="both"/>
        <w:rPr>
          <w:rFonts w:ascii="Times New Roman" w:hAnsi="Times New Roman" w:cs="Times New Roman"/>
          <w:sz w:val="24"/>
          <w:szCs w:val="24"/>
        </w:rPr>
      </w:pPr>
    </w:p>
    <w:p w14:paraId="6229C80F" w14:textId="77777777" w:rsidR="00A8776D" w:rsidRPr="00A8776D" w:rsidRDefault="00A8776D" w:rsidP="00A8776D">
      <w:pPr>
        <w:spacing w:line="360" w:lineRule="auto"/>
        <w:jc w:val="both"/>
        <w:rPr>
          <w:rFonts w:ascii="Times New Roman" w:hAnsi="Times New Roman" w:cs="Times New Roman"/>
          <w:sz w:val="24"/>
          <w:szCs w:val="24"/>
        </w:rPr>
      </w:pPr>
    </w:p>
    <w:p w14:paraId="77ECE447" w14:textId="77777777" w:rsidR="00A8776D" w:rsidRPr="00A8776D" w:rsidRDefault="00A8776D" w:rsidP="00A8776D">
      <w:pPr>
        <w:spacing w:line="360" w:lineRule="auto"/>
        <w:jc w:val="both"/>
        <w:rPr>
          <w:rFonts w:ascii="Times New Roman" w:hAnsi="Times New Roman" w:cs="Times New Roman"/>
          <w:sz w:val="24"/>
          <w:szCs w:val="24"/>
        </w:rPr>
      </w:pPr>
    </w:p>
    <w:p w14:paraId="55FE6929" w14:textId="77777777" w:rsidR="00A8776D" w:rsidRPr="00A8776D" w:rsidRDefault="00A8776D" w:rsidP="00A8776D">
      <w:pPr>
        <w:spacing w:line="360" w:lineRule="auto"/>
        <w:jc w:val="both"/>
        <w:rPr>
          <w:rFonts w:ascii="Times New Roman" w:hAnsi="Times New Roman" w:cs="Times New Roman"/>
          <w:sz w:val="24"/>
          <w:szCs w:val="24"/>
        </w:rPr>
      </w:pPr>
    </w:p>
    <w:p w14:paraId="1C151CFE" w14:textId="77777777" w:rsidR="00A8776D" w:rsidRPr="00A8776D" w:rsidRDefault="00A8776D" w:rsidP="00A8776D">
      <w:pPr>
        <w:spacing w:line="360" w:lineRule="auto"/>
        <w:jc w:val="both"/>
        <w:rPr>
          <w:rFonts w:ascii="Times New Roman" w:hAnsi="Times New Roman" w:cs="Times New Roman"/>
          <w:sz w:val="24"/>
          <w:szCs w:val="24"/>
        </w:rPr>
      </w:pPr>
    </w:p>
    <w:p w14:paraId="7106009B" w14:textId="77777777" w:rsidR="00A8776D" w:rsidRPr="00A8776D" w:rsidRDefault="00A8776D" w:rsidP="00A8776D">
      <w:pPr>
        <w:spacing w:line="360" w:lineRule="auto"/>
        <w:jc w:val="both"/>
        <w:rPr>
          <w:rFonts w:ascii="Times New Roman" w:hAnsi="Times New Roman" w:cs="Times New Roman"/>
          <w:sz w:val="24"/>
          <w:szCs w:val="24"/>
        </w:rPr>
      </w:pPr>
    </w:p>
    <w:p w14:paraId="0E522D54" w14:textId="77777777" w:rsidR="00A8776D" w:rsidRPr="00A8776D" w:rsidRDefault="00A8776D" w:rsidP="00A8776D">
      <w:pPr>
        <w:spacing w:line="360" w:lineRule="auto"/>
        <w:jc w:val="both"/>
        <w:rPr>
          <w:rFonts w:ascii="Times New Roman" w:hAnsi="Times New Roman" w:cs="Times New Roman"/>
          <w:sz w:val="24"/>
          <w:szCs w:val="24"/>
        </w:rPr>
      </w:pPr>
    </w:p>
    <w:p w14:paraId="01A19C1A" w14:textId="77777777" w:rsidR="00A8776D" w:rsidRPr="00A8776D" w:rsidRDefault="00A8776D" w:rsidP="00A8776D">
      <w:pPr>
        <w:spacing w:line="360" w:lineRule="auto"/>
        <w:jc w:val="both"/>
        <w:rPr>
          <w:rFonts w:ascii="Times New Roman" w:hAnsi="Times New Roman" w:cs="Times New Roman"/>
          <w:sz w:val="24"/>
          <w:szCs w:val="24"/>
        </w:rPr>
      </w:pPr>
    </w:p>
    <w:p w14:paraId="2FEE47D8" w14:textId="77777777" w:rsidR="00A8776D" w:rsidRPr="00A8776D" w:rsidRDefault="00A8776D" w:rsidP="00A8776D">
      <w:pPr>
        <w:spacing w:line="360" w:lineRule="auto"/>
        <w:jc w:val="both"/>
        <w:rPr>
          <w:rFonts w:ascii="Times New Roman" w:hAnsi="Times New Roman" w:cs="Times New Roman"/>
          <w:sz w:val="24"/>
          <w:szCs w:val="24"/>
        </w:rPr>
      </w:pPr>
    </w:p>
    <w:p w14:paraId="6724B338" w14:textId="77777777" w:rsidR="00A8776D" w:rsidRPr="00A8776D" w:rsidRDefault="00A8776D" w:rsidP="00A8776D">
      <w:pPr>
        <w:spacing w:line="360" w:lineRule="auto"/>
        <w:jc w:val="both"/>
        <w:rPr>
          <w:rFonts w:ascii="Times New Roman" w:hAnsi="Times New Roman" w:cs="Times New Roman"/>
          <w:sz w:val="24"/>
          <w:szCs w:val="24"/>
        </w:rPr>
      </w:pPr>
    </w:p>
    <w:p w14:paraId="57D05C53" w14:textId="77777777" w:rsidR="00A83BA3" w:rsidRPr="00A8776D" w:rsidRDefault="00A83BA3" w:rsidP="00A8776D">
      <w:pPr>
        <w:spacing w:line="360" w:lineRule="auto"/>
        <w:jc w:val="both"/>
        <w:rPr>
          <w:rFonts w:ascii="Times New Roman" w:hAnsi="Times New Roman" w:cs="Times New Roman"/>
          <w:sz w:val="24"/>
          <w:szCs w:val="24"/>
        </w:rPr>
      </w:pPr>
    </w:p>
    <w:sectPr w:rsidR="00A83BA3" w:rsidRPr="00A877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34CDD"/>
    <w:multiLevelType w:val="hybridMultilevel"/>
    <w:tmpl w:val="D9EA6DE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0AF1AFC"/>
    <w:multiLevelType w:val="hybridMultilevel"/>
    <w:tmpl w:val="E108B40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B352D15"/>
    <w:multiLevelType w:val="hybridMultilevel"/>
    <w:tmpl w:val="52EA53B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439573">
    <w:abstractNumId w:val="0"/>
  </w:num>
  <w:num w:numId="2" w16cid:durableId="246967842">
    <w:abstractNumId w:val="2"/>
  </w:num>
  <w:num w:numId="3" w16cid:durableId="1524130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76D"/>
    <w:rsid w:val="001826E9"/>
    <w:rsid w:val="001D0C92"/>
    <w:rsid w:val="003742FA"/>
    <w:rsid w:val="005031E9"/>
    <w:rsid w:val="005166E8"/>
    <w:rsid w:val="00635582"/>
    <w:rsid w:val="007F7AD9"/>
    <w:rsid w:val="00807EFE"/>
    <w:rsid w:val="00893B95"/>
    <w:rsid w:val="00977DAC"/>
    <w:rsid w:val="00A83BA3"/>
    <w:rsid w:val="00A8776D"/>
    <w:rsid w:val="00DD436D"/>
    <w:rsid w:val="00E80B9D"/>
    <w:rsid w:val="00E968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01CFD"/>
  <w15:chartTrackingRefBased/>
  <w15:docId w15:val="{CE6473BB-6AA9-43E3-9D27-456B1D004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7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877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877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77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77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7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7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877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877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77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77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7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76D"/>
    <w:rPr>
      <w:rFonts w:eastAsiaTheme="majorEastAsia" w:cstheme="majorBidi"/>
      <w:color w:val="272727" w:themeColor="text1" w:themeTint="D8"/>
    </w:rPr>
  </w:style>
  <w:style w:type="paragraph" w:styleId="Title">
    <w:name w:val="Title"/>
    <w:basedOn w:val="Normal"/>
    <w:next w:val="Normal"/>
    <w:link w:val="TitleChar"/>
    <w:uiPriority w:val="10"/>
    <w:qFormat/>
    <w:rsid w:val="00A87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76D"/>
    <w:pPr>
      <w:spacing w:before="160"/>
      <w:jc w:val="center"/>
    </w:pPr>
    <w:rPr>
      <w:i/>
      <w:iCs/>
      <w:color w:val="404040" w:themeColor="text1" w:themeTint="BF"/>
    </w:rPr>
  </w:style>
  <w:style w:type="character" w:customStyle="1" w:styleId="QuoteChar">
    <w:name w:val="Quote Char"/>
    <w:basedOn w:val="DefaultParagraphFont"/>
    <w:link w:val="Quote"/>
    <w:uiPriority w:val="29"/>
    <w:rsid w:val="00A8776D"/>
    <w:rPr>
      <w:i/>
      <w:iCs/>
      <w:color w:val="404040" w:themeColor="text1" w:themeTint="BF"/>
    </w:rPr>
  </w:style>
  <w:style w:type="paragraph" w:styleId="ListParagraph">
    <w:name w:val="List Paragraph"/>
    <w:basedOn w:val="Normal"/>
    <w:uiPriority w:val="34"/>
    <w:qFormat/>
    <w:rsid w:val="00A8776D"/>
    <w:pPr>
      <w:ind w:left="720"/>
      <w:contextualSpacing/>
    </w:pPr>
  </w:style>
  <w:style w:type="character" w:styleId="IntenseEmphasis">
    <w:name w:val="Intense Emphasis"/>
    <w:basedOn w:val="DefaultParagraphFont"/>
    <w:uiPriority w:val="21"/>
    <w:qFormat/>
    <w:rsid w:val="00A8776D"/>
    <w:rPr>
      <w:i/>
      <w:iCs/>
      <w:color w:val="2F5496" w:themeColor="accent1" w:themeShade="BF"/>
    </w:rPr>
  </w:style>
  <w:style w:type="paragraph" w:styleId="IntenseQuote">
    <w:name w:val="Intense Quote"/>
    <w:basedOn w:val="Normal"/>
    <w:next w:val="Normal"/>
    <w:link w:val="IntenseQuoteChar"/>
    <w:uiPriority w:val="30"/>
    <w:qFormat/>
    <w:rsid w:val="00A877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776D"/>
    <w:rPr>
      <w:i/>
      <w:iCs/>
      <w:color w:val="2F5496" w:themeColor="accent1" w:themeShade="BF"/>
    </w:rPr>
  </w:style>
  <w:style w:type="character" w:styleId="IntenseReference">
    <w:name w:val="Intense Reference"/>
    <w:basedOn w:val="DefaultParagraphFont"/>
    <w:uiPriority w:val="32"/>
    <w:qFormat/>
    <w:rsid w:val="00A8776D"/>
    <w:rPr>
      <w:b/>
      <w:bCs/>
      <w:smallCaps/>
      <w:color w:val="2F5496" w:themeColor="accent1" w:themeShade="BF"/>
      <w:spacing w:val="5"/>
    </w:rPr>
  </w:style>
  <w:style w:type="table" w:styleId="TableGrid">
    <w:name w:val="Table Grid"/>
    <w:basedOn w:val="TableNormal"/>
    <w:uiPriority w:val="39"/>
    <w:rsid w:val="00374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1D0C9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7</Pages>
  <Words>1379</Words>
  <Characters>7589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Mabibè BANKATI</dc:creator>
  <cp:keywords/>
  <dc:description/>
  <cp:lastModifiedBy>Mabibè BANKATI</cp:lastModifiedBy>
  <cp:revision>6</cp:revision>
  <dcterms:created xsi:type="dcterms:W3CDTF">2026-02-18T10:49:00Z</dcterms:created>
  <dcterms:modified xsi:type="dcterms:W3CDTF">2026-02-18T14:11:00Z</dcterms:modified>
</cp:coreProperties>
</file>