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bf0c875519ca8344556bb783c886f4114f8fa0e"/>
    <w:p>
      <w:pPr>
        <w:pStyle w:val="Heading1"/>
      </w:pPr>
      <w:r>
        <w:t xml:space="preserve">Chronisches Schmerzwissenschaftsmodell – Integrierte Rekonstruktion (V2)</w:t>
      </w:r>
    </w:p>
    <w:bookmarkStart w:id="9" w:name="abstrakt"/>
    <w:p>
      <w:pPr>
        <w:pStyle w:val="Heading2"/>
      </w:pPr>
      <w:r>
        <w:t xml:space="preserve">Abstrakt</w:t>
      </w:r>
    </w:p>
    <w:p>
      <w:pPr>
        <w:pStyle w:val="FirstParagraph"/>
      </w:pPr>
      <w:r>
        <w:t xml:space="preserve">Dieses Dokument rekonstruiert und organisiert den theoretischen und beobachtenden Rahmen, der im von P.H.E. entwickelten Chronic Pain Science-Projekt präsentiert wird. van der Veen. Die Arbeit basiert auf jahrzehntelangen klinischen Beobachtungen in der allgemeinen medizinischen Praxis, vor allem im Zeitraum 1980–1986, und wurde später zu einem theoretischen Modell erweitert, das chronischen Schmerz als ein dysreguliertes physiologisches Kontrollsystem beschreibt, an dem Prostaglandine, Mikrozirkulation, autonome Reflexe und Entzündungsmediatoren beteiligt sind.</w:t>
      </w:r>
    </w:p>
    <w:p>
      <w:pPr>
        <w:pStyle w:val="BodyText"/>
      </w:pPr>
      <w:r>
        <w:t xml:space="preserve">Die Thermografie wurde als primäres Beobachtungsinstrument zur Visualisierung physiologischer Veränderungen im Zusammenhang mit chronischen Schmerzen eingesetzt. Der Rahmen geht davon aus, dass anhaltende Schmerzzustände durch regulatorische Rückkopplungsschleifen zwischen Entzündungsmediatoren, Gefäßregulation und neuronalen Reflexwegen entstehen können.</w:t>
      </w:r>
    </w:p>
    <w:p>
      <w:pPr>
        <w:pStyle w:val="BodyText"/>
      </w:pPr>
      <w:r>
        <w:t xml:space="preserve">Ziel dieses Dokuments ist es, das Modell in einer strukturierten wissenschaftlichen Erzählung darzustellen und dabei die ursprünglichen Quellenangaben zu bewahren.</w:t>
      </w:r>
    </w:p>
    <w:p>
      <w:r>
        <w:pict>
          <v:rect style="width:0;height:1.5pt" o:hralign="center" o:hrstd="t" o:hr="t"/>
        </w:pict>
      </w:r>
    </w:p>
    <w:bookmarkEnd w:id="9"/>
    <w:bookmarkEnd w:id="10"/>
    <w:bookmarkStart w:id="11" w:name="X46e6371854f420275aaca476610d6ff41d70d62"/>
    <w:p>
      <w:pPr>
        <w:pStyle w:val="Heading1"/>
      </w:pPr>
      <w:r>
        <w:t xml:space="preserve">1 Historischer Zeitstrahl der Forschung (1980–2025)</w:t>
      </w:r>
    </w:p>
    <w:p>
      <w:pPr>
        <w:pStyle w:val="FirstParagraph"/>
      </w:pPr>
      <w:r>
        <w:t xml:space="preserve">1980–1981</w:t>
      </w:r>
      <w:r>
        <w:t xml:space="preserve"> </w:t>
      </w:r>
      <w:r>
        <w:t xml:space="preserve">Erste Thermographieexperimente in der Allgemeinmedizin zur Untersuchung ungeklärter chronischer Schmerzzustände.</w:t>
      </w:r>
    </w:p>
    <w:p>
      <w:pPr>
        <w:pStyle w:val="BodyText"/>
      </w:pPr>
      <w:r>
        <w:t xml:space="preserve">1981–1986</w:t>
      </w:r>
      <w:r>
        <w:t xml:space="preserve"> </w:t>
      </w:r>
      <w:r>
        <w:t xml:space="preserve">Es wurden klinische Beobachtungsstudien mit Patienten mit Bauchschmerzen und anderen chronischen Schmerzsyndromen durchgeführt. Thermografische Bildgebung zur Korrelation der Schmerzwahrnehmung mit Hauttemperaturmustern.</w:t>
      </w:r>
    </w:p>
    <w:p>
      <w:pPr>
        <w:pStyle w:val="BodyText"/>
      </w:pPr>
      <w:r>
        <w:t xml:space="preserve">1986–1990</w:t>
      </w:r>
      <w:r>
        <w:t xml:space="preserve"> </w:t>
      </w:r>
      <w:r>
        <w:t xml:space="preserve">Entwicklung eines theoretischen Rahmens, der Prostaglandine, Gefäßregulation und chronische Schmerzmechanismen verknüpft.</w:t>
      </w:r>
    </w:p>
    <w:p>
      <w:pPr>
        <w:pStyle w:val="BodyText"/>
      </w:pPr>
      <w:r>
        <w:t xml:space="preserve">1990er Jahre</w:t>
      </w:r>
      <w:r>
        <w:t xml:space="preserve"> </w:t>
      </w:r>
      <w:r>
        <w:t xml:space="preserve">Weitere theoretische Arbeiten zu Prostaglandin-vermittelten Regulierungssystemen und viszerokutanen Reflexwegen.</w:t>
      </w:r>
    </w:p>
    <w:p>
      <w:pPr>
        <w:pStyle w:val="BodyText"/>
      </w:pPr>
      <w:r>
        <w:t xml:space="preserve">2000–2015</w:t>
      </w:r>
      <w:r>
        <w:t xml:space="preserve"> </w:t>
      </w:r>
      <w:r>
        <w:t xml:space="preserve">Zusammenstellung und Interpretation früherer Beobachtungsarbeiten.</w:t>
      </w:r>
    </w:p>
    <w:p>
      <w:pPr>
        <w:pStyle w:val="BodyText"/>
      </w:pPr>
      <w:r>
        <w:t xml:space="preserve">2018</w:t>
      </w:r>
      <w:r>
        <w:t xml:space="preserve"> </w:t>
      </w:r>
      <w:r>
        <w:t xml:space="preserve">Veröffentlichung eines erweiterten ätiologischen Modells, das den Zusammenhang zwischen chronischen Schmerzen und CRPS beschreibt.</w:t>
      </w:r>
    </w:p>
    <w:p>
      <w:pPr>
        <w:pStyle w:val="BodyText"/>
      </w:pPr>
      <w:r>
        <w:t xml:space="preserve">2025</w:t>
      </w:r>
      <w:r>
        <w:t xml:space="preserve"> </w:t>
      </w:r>
      <w:r>
        <w:t xml:space="preserve">Veröffentlichung des Buches:</w:t>
      </w:r>
    </w:p>
    <w:p>
      <w:pPr>
        <w:pStyle w:val="BodyText"/>
      </w:pPr>
      <w:r>
        <w:t xml:space="preserve">Van der Veen, P.H.E.</w:t>
      </w:r>
      <w:r>
        <w:t xml:space="preserve"> </w:t>
      </w:r>
      <w:r>
        <w:t xml:space="preserve">„Inzicht in chronische pijn – Het mysterie van een onbegrepen ziektebeeld“</w:t>
      </w:r>
      <w:r>
        <w:t xml:space="preserve"> </w:t>
      </w:r>
      <w:r>
        <w:t xml:space="preserve">Buchscout-Verlag</w:t>
      </w:r>
    </w:p>
    <w:p>
      <w:pPr>
        <w:pStyle w:val="BodyText"/>
      </w:pPr>
      <w:r>
        <w:t xml:space="preserve">Die Website chronic-pain-science.nl wurde erstellt, um das Forschungsmaterial und den theoretischen Rahmen zu archivieren.</w:t>
      </w:r>
    </w:p>
    <w:p>
      <w:r>
        <w:pict>
          <v:rect style="width:0;height:1.5pt" o:hralign="center" o:hrstd="t" o:hr="t"/>
        </w:pict>
      </w:r>
    </w:p>
    <w:bookmarkEnd w:id="11"/>
    <w:bookmarkStart w:id="15" w:name="forschungsmethoden"/>
    <w:p>
      <w:pPr>
        <w:pStyle w:val="Heading1"/>
      </w:pPr>
      <w:r>
        <w:t xml:space="preserve">2 Forschungsmethoden</w:t>
      </w:r>
    </w:p>
    <w:bookmarkStart w:id="12" w:name="klinisches-umfeld"/>
    <w:p>
      <w:pPr>
        <w:pStyle w:val="Heading2"/>
      </w:pPr>
      <w:r>
        <w:t xml:space="preserve">Klinisches Umfeld</w:t>
      </w:r>
    </w:p>
    <w:p>
      <w:pPr>
        <w:pStyle w:val="FirstParagraph"/>
      </w:pPr>
      <w:r>
        <w:t xml:space="preserve">Allgemeinmedizinische Praxis</w:t>
      </w:r>
    </w:p>
    <w:p>
      <w:pPr>
        <w:pStyle w:val="BodyText"/>
      </w:pPr>
      <w:r>
        <w:t xml:space="preserve">Die Patientenpopulation bestand aus Personen mit chronischen Bauchschmerzen oder anderen anhaltenden Schmerzsyndromen ohne klare strukturelle Erklärung.</w:t>
      </w:r>
    </w:p>
    <w:bookmarkEnd w:id="12"/>
    <w:bookmarkStart w:id="13" w:name="diagnoseinstrument"/>
    <w:p>
      <w:pPr>
        <w:pStyle w:val="Heading2"/>
      </w:pPr>
      <w:r>
        <w:t xml:space="preserve">Diagnoseinstrument</w:t>
      </w:r>
    </w:p>
    <w:p>
      <w:pPr>
        <w:pStyle w:val="FirstParagraph"/>
      </w:pPr>
      <w:r>
        <w:t xml:space="preserve">Medizinische Infrarot-Thermografie wurde verwendet, um Hauttemperaturmuster zu erkennen, die mit Schmerzorten verbunden sind.</w:t>
      </w:r>
    </w:p>
    <w:p>
      <w:pPr>
        <w:pStyle w:val="BodyText"/>
      </w:pPr>
      <w:r>
        <w:t xml:space="preserve">Die Thermografie misst die von der Hautoberfläche abgegebene Infrarotstrahlung und ermöglicht die Visualisierung lokaler Temperaturunterschiede.</w:t>
      </w:r>
    </w:p>
    <w:bookmarkEnd w:id="13"/>
    <w:bookmarkStart w:id="14" w:name="beobachtungsansatz"/>
    <w:p>
      <w:pPr>
        <w:pStyle w:val="Heading2"/>
      </w:pPr>
      <w:r>
        <w:t xml:space="preserve">Beobachtungsansatz</w:t>
      </w:r>
    </w:p>
    <w:p>
      <w:pPr>
        <w:pStyle w:val="Compact"/>
        <w:numPr>
          <w:ilvl w:val="0"/>
          <w:numId w:val="1001"/>
        </w:numPr>
      </w:pPr>
      <w:r>
        <w:t xml:space="preserve">Identifizieren Sie den Ort der vom Patienten gemeldeten Schmerzen</w:t>
      </w:r>
    </w:p>
    <w:p>
      <w:pPr>
        <w:pStyle w:val="Compact"/>
        <w:numPr>
          <w:ilvl w:val="0"/>
          <w:numId w:val="1001"/>
        </w:numPr>
      </w:pPr>
      <w:r>
        <w:t xml:space="preserve">Führen Sie eine Thermographie durch</w:t>
      </w:r>
    </w:p>
    <w:p>
      <w:pPr>
        <w:pStyle w:val="Compact"/>
        <w:numPr>
          <w:ilvl w:val="0"/>
          <w:numId w:val="1001"/>
        </w:numPr>
      </w:pPr>
      <w:r>
        <w:t xml:space="preserve">Vergleichen Sie Temperaturmuster mit dem umgebenden Gewebe</w:t>
      </w:r>
    </w:p>
    <w:p>
      <w:pPr>
        <w:pStyle w:val="Compact"/>
        <w:numPr>
          <w:ilvl w:val="0"/>
          <w:numId w:val="1001"/>
        </w:numPr>
      </w:pPr>
      <w:r>
        <w:t xml:space="preserve">Überwachen Sie Temperaturänderungen während der Eingriffe</w:t>
      </w:r>
    </w:p>
    <w:p>
      <w:pPr>
        <w:pStyle w:val="FirstParagraph"/>
      </w:pPr>
      <w:r>
        <w:t xml:space="preserve">Zu den getesteten Interventionen gehörten:</w:t>
      </w:r>
    </w:p>
    <w:p>
      <w:pPr>
        <w:pStyle w:val="BodyText"/>
      </w:pPr>
      <w:r>
        <w:t xml:space="preserve">• NSAIDs</w:t>
      </w:r>
      <w:r>
        <w:t xml:space="preserve"> </w:t>
      </w:r>
      <w:r>
        <w:t xml:space="preserve">• Metamizol</w:t>
      </w:r>
      <w:r>
        <w:t xml:space="preserve"> </w:t>
      </w:r>
      <w:r>
        <w:t xml:space="preserve">• Pentoxifyllin</w:t>
      </w:r>
      <w:r>
        <w:t xml:space="preserve"> </w:t>
      </w:r>
      <w:r>
        <w:t xml:space="preserve">• Placebo-Bedingungen</w:t>
      </w:r>
    </w:p>
    <w:p>
      <w:r>
        <w:pict>
          <v:rect style="width:0;height:1.5pt" o:hralign="center" o:hrstd="t" o:hr="t"/>
        </w:pict>
      </w:r>
    </w:p>
    <w:bookmarkEnd w:id="14"/>
    <w:bookmarkEnd w:id="15"/>
    <w:bookmarkStart w:id="16" w:name="ergebnisse-der-beobachtungsstudie"/>
    <w:p>
      <w:pPr>
        <w:pStyle w:val="Heading1"/>
      </w:pPr>
      <w:r>
        <w:t xml:space="preserve">3 Ergebnisse der Beobachtungsstudie</w:t>
      </w:r>
    </w:p>
    <w:p>
      <w:pPr>
        <w:pStyle w:val="FirstParagraph"/>
      </w:pPr>
      <w:r>
        <w:t xml:space="preserve">Studienpopulation (Beispielgruppe Bauchschmerzen):</w:t>
      </w:r>
    </w:p>
    <w:p>
      <w:pPr>
        <w:pStyle w:val="BodyText"/>
      </w:pPr>
      <w:r>
        <w:t xml:space="preserve">Gesamtzahl der Patienten: 57</w:t>
      </w:r>
    </w:p>
    <w:p>
      <w:pPr>
        <w:pStyle w:val="BodyText"/>
      </w:pPr>
      <w:r>
        <w:t xml:space="preserve">Verteilung des Temperaturmusters:</w:t>
      </w:r>
    </w:p>
    <w:p>
      <w:pPr>
        <w:pStyle w:val="BodyText"/>
      </w:pPr>
      <w:r>
        <w:t xml:space="preserve">Kalte Schmerzpunkte: 44 Patienten</w:t>
      </w:r>
      <w:r>
        <w:t xml:space="preserve"> </w:t>
      </w:r>
      <w:r>
        <w:t xml:space="preserve">Warme Schmerzpunkte: 13 Patienten</w:t>
      </w:r>
    </w:p>
    <w:p>
      <w:pPr>
        <w:pStyle w:val="BodyText"/>
      </w:pPr>
      <w:r>
        <w:t xml:space="preserve">Thermografische Befunde:</w:t>
      </w:r>
    </w:p>
    <w:p>
      <w:pPr>
        <w:pStyle w:val="BodyText"/>
      </w:pPr>
      <w:r>
        <w:t xml:space="preserve">• Chronisch schmerzende Stellen zeigten häufig eine niedrigere Hauttemperatur im Vergleich zum umgebenden Gewebe</w:t>
      </w:r>
      <w:r>
        <w:t xml:space="preserve"> </w:t>
      </w:r>
      <w:r>
        <w:t xml:space="preserve">• Korrelation zwischen thermografischem Signal und Schmerzwahrnehmung ≈ r = 0,69</w:t>
      </w:r>
      <w:r>
        <w:t xml:space="preserve"> </w:t>
      </w:r>
      <w:r>
        <w:t xml:space="preserve">• In mehreren Analysen berichtete statistische Signifikanz (p ≤ 0,001)</w:t>
      </w:r>
    </w:p>
    <w:p>
      <w:pPr>
        <w:pStyle w:val="BodyText"/>
      </w:pPr>
      <w:r>
        <w:t xml:space="preserve">Pharmakologische Beobachtungen:</w:t>
      </w:r>
    </w:p>
    <w:p>
      <w:pPr>
        <w:pStyle w:val="BodyText"/>
      </w:pPr>
      <w:r>
        <w:t xml:space="preserve">NSAIDs</w:t>
      </w:r>
    </w:p>
    <w:p>
      <w:pPr>
        <w:pStyle w:val="BodyText"/>
      </w:pPr>
      <w:r>
        <w:t xml:space="preserve">Inkonsistente Auswirkungen auf thermografische Muster.</w:t>
      </w:r>
    </w:p>
    <w:p>
      <w:pPr>
        <w:pStyle w:val="BodyText"/>
      </w:pPr>
      <w:r>
        <w:t xml:space="preserve">Pentoxifyllin</w:t>
      </w:r>
    </w:p>
    <w:p>
      <w:pPr>
        <w:pStyle w:val="BodyText"/>
      </w:pPr>
      <w:r>
        <w:t xml:space="preserve">Bei mehreren Patienten wurde eine Normalisierung abnormaler thermischer Muster beobachtet.</w:t>
      </w:r>
    </w:p>
    <w:p>
      <w:pPr>
        <w:pStyle w:val="BodyText"/>
      </w:pPr>
      <w:r>
        <w:t xml:space="preserve">Placebo</w:t>
      </w:r>
    </w:p>
    <w:p>
      <w:pPr>
        <w:pStyle w:val="BodyText"/>
      </w:pPr>
      <w:r>
        <w:t xml:space="preserve">In einigen Fällen sind thermografische Veränderungen messbar, was auf einen regulatorischen Einfluss zentraler Mechanismen schließen lässt.</w:t>
      </w:r>
    </w:p>
    <w:p>
      <w:pPr>
        <w:pStyle w:val="BodyText"/>
      </w:pPr>
      <w:r>
        <w:t xml:space="preserve">Quellen:</w:t>
      </w:r>
    </w:p>
    <w:p>
      <w:pPr>
        <w:pStyle w:val="BodyText"/>
      </w:pPr>
      <w:r>
        <w:t xml:space="preserve">https://chronic-pain-science.nl/study%20results%20general/</w:t>
      </w:r>
    </w:p>
    <w:p>
      <w:r>
        <w:pict>
          <v:rect style="width:0;height:1.5pt" o:hralign="center" o:hrstd="t" o:hr="t"/>
        </w:pict>
      </w:r>
    </w:p>
    <w:bookmarkEnd w:id="16"/>
    <w:bookmarkStart w:id="19" w:name="wichtige-physiologische-beobachtungen"/>
    <w:p>
      <w:pPr>
        <w:pStyle w:val="Heading1"/>
      </w:pPr>
      <w:r>
        <w:t xml:space="preserve">4 wichtige physiologische Beobachtungen</w:t>
      </w:r>
    </w:p>
    <w:bookmarkStart w:id="17" w:name="kalte-schmerzzonen"/>
    <w:p>
      <w:pPr>
        <w:pStyle w:val="Heading2"/>
      </w:pPr>
      <w:r>
        <w:t xml:space="preserve">Kalte Schmerzzonen</w:t>
      </w:r>
    </w:p>
    <w:p>
      <w:pPr>
        <w:pStyle w:val="FirstParagraph"/>
      </w:pPr>
      <w:r>
        <w:t xml:space="preserve">Die meisten chronischen Schmerzbereiche zeigten eine verringerte Hauttemperatur.</w:t>
      </w:r>
    </w:p>
    <w:p>
      <w:pPr>
        <w:pStyle w:val="BodyText"/>
      </w:pPr>
      <w:r>
        <w:t xml:space="preserve">Möglicher Mechanismus:</w:t>
      </w:r>
    </w:p>
    <w:p>
      <w:pPr>
        <w:pStyle w:val="BodyText"/>
      </w:pPr>
      <w:r>
        <w:t xml:space="preserve">• anhaltende Vasokonstriktion</w:t>
      </w:r>
      <w:r>
        <w:t xml:space="preserve"> </w:t>
      </w:r>
      <w:r>
        <w:t xml:space="preserve">• verminderte Mikrozirkulation</w:t>
      </w:r>
      <w:r>
        <w:t xml:space="preserve"> </w:t>
      </w:r>
      <w:r>
        <w:t xml:space="preserve">• autonome Dysregulation</w:t>
      </w:r>
    </w:p>
    <w:bookmarkEnd w:id="17"/>
    <w:bookmarkStart w:id="18" w:name="warme-schmerzzonen"/>
    <w:p>
      <w:pPr>
        <w:pStyle w:val="Heading2"/>
      </w:pPr>
      <w:r>
        <w:t xml:space="preserve">Warme Schmerzzonen</w:t>
      </w:r>
    </w:p>
    <w:p>
      <w:pPr>
        <w:pStyle w:val="FirstParagraph"/>
      </w:pPr>
      <w:r>
        <w:t xml:space="preserve">Wird hauptsächlich bei akuten Entzündungszuständen oder frühen CRPS-Phasen beobachtet.</w:t>
      </w:r>
    </w:p>
    <w:p>
      <w:r>
        <w:pict>
          <v:rect style="width:0;height:1.5pt" o:hralign="center" o:hrstd="t" o:hr="t"/>
        </w:pict>
      </w:r>
    </w:p>
    <w:bookmarkEnd w:id="18"/>
    <w:bookmarkEnd w:id="19"/>
    <w:bookmarkStart w:id="20" w:name="viszero-kutane-reflex-hypothese"/>
    <w:p>
      <w:pPr>
        <w:pStyle w:val="Heading1"/>
      </w:pPr>
      <w:r>
        <w:t xml:space="preserve">5 Viszero-kutane Reflex-Hypothese</w:t>
      </w:r>
    </w:p>
    <w:p>
      <w:pPr>
        <w:pStyle w:val="FirstParagraph"/>
      </w:pPr>
      <w:r>
        <w:t xml:space="preserve">Das Modell baut auf neurologischen Konzepten wie segmentaler Innervation und Head-Zonen auf.</w:t>
      </w:r>
    </w:p>
    <w:p>
      <w:pPr>
        <w:pStyle w:val="BodyText"/>
      </w:pPr>
      <w:r>
        <w:t xml:space="preserve">Innere Organe und Gewebe können über autonome Reflexwege Hautregionen beeinflussen, die sich dasselbe Wirbelsäulensegment teilen.</w:t>
      </w:r>
    </w:p>
    <w:p>
      <w:pPr>
        <w:pStyle w:val="BodyText"/>
      </w:pPr>
      <w:r>
        <w:t xml:space="preserve">Daher können thermografische Anomalien in der Haut tiefer liegende physiologische Störungen darstellen.</w:t>
      </w:r>
    </w:p>
    <w:p>
      <w:r>
        <w:pict>
          <v:rect style="width:0;height:1.5pt" o:hralign="center" o:hrstd="t" o:hr="t"/>
        </w:pict>
      </w:r>
    </w:p>
    <w:bookmarkEnd w:id="20"/>
    <w:bookmarkStart w:id="21" w:name="prostaglandin-regulierungsmodell"/>
    <w:p>
      <w:pPr>
        <w:pStyle w:val="Heading1"/>
      </w:pPr>
      <w:r>
        <w:t xml:space="preserve">6 Prostaglandin-Regulierungsmodell</w:t>
      </w:r>
    </w:p>
    <w:p>
      <w:pPr>
        <w:pStyle w:val="FirstParagraph"/>
      </w:pPr>
      <w:r>
        <w:t xml:space="preserve">Die zentrale biochemische Hypothese geht davon aus, dass Prostaglandine als regulatorische Mediatoren fungieren und Folgendes verknüpfen:</w:t>
      </w:r>
    </w:p>
    <w:p>
      <w:pPr>
        <w:pStyle w:val="BodyText"/>
      </w:pPr>
      <w:r>
        <w:t xml:space="preserve">• Entzündungssignalisierung</w:t>
      </w:r>
      <w:r>
        <w:t xml:space="preserve"> </w:t>
      </w:r>
      <w:r>
        <w:t xml:space="preserve">• Gefäßtonus</w:t>
      </w:r>
      <w:r>
        <w:t xml:space="preserve"> </w:t>
      </w:r>
      <w:r>
        <w:t xml:space="preserve">• Regulierung des autonomen Nervensystems</w:t>
      </w:r>
    </w:p>
    <w:p>
      <w:pPr>
        <w:pStyle w:val="BodyText"/>
      </w:pPr>
      <w:r>
        <w:t xml:space="preserve">Das Gleichgewicht zwischen Prostaglandinfamilien (wie PGE und PGF) kann Folgendes beeinflussen:</w:t>
      </w:r>
    </w:p>
    <w:p>
      <w:pPr>
        <w:pStyle w:val="BodyText"/>
      </w:pPr>
      <w:r>
        <w:t xml:space="preserve">• Gefäßerweiterung</w:t>
      </w:r>
      <w:r>
        <w:t xml:space="preserve"> </w:t>
      </w:r>
      <w:r>
        <w:t xml:space="preserve">• Vasokonstriktion</w:t>
      </w:r>
      <w:r>
        <w:t xml:space="preserve"> </w:t>
      </w:r>
      <w:r>
        <w:t xml:space="preserve">• entzündliche Verstärkung</w:t>
      </w:r>
      <w:r>
        <w:t xml:space="preserve"> </w:t>
      </w:r>
      <w:r>
        <w:t xml:space="preserve">• chronische Schmerzpersistenz</w:t>
      </w:r>
    </w:p>
    <w:p>
      <w:r>
        <w:pict>
          <v:rect style="width:0;height:1.5pt" o:hralign="center" o:hrstd="t" o:hr="t"/>
        </w:pict>
      </w:r>
    </w:p>
    <w:bookmarkEnd w:id="21"/>
    <w:bookmarkStart w:id="22" w:name="X48fdb297a5f2e19b289a87b646fdd27c3c1969f"/>
    <w:p>
      <w:pPr>
        <w:pStyle w:val="Heading1"/>
      </w:pPr>
      <w:r>
        <w:t xml:space="preserve">7 Kontrollsystemmodell für chronische Schmerzen</w:t>
      </w:r>
    </w:p>
    <w:p>
      <w:pPr>
        <w:pStyle w:val="FirstParagraph"/>
      </w:pPr>
      <w:r>
        <w:t xml:space="preserve">Das Modell kann als biologisches Kontrollsystem interpretiert werden.</w:t>
      </w:r>
    </w:p>
    <w:p>
      <w:pPr>
        <w:pStyle w:val="BodyText"/>
      </w:pPr>
      <w:r>
        <w:t xml:space="preserve">Normaler Zustand</w:t>
      </w:r>
    </w:p>
    <w:p>
      <w:pPr>
        <w:pStyle w:val="BodyText"/>
      </w:pPr>
      <w:r>
        <w:t xml:space="preserve">Aufrechterhaltung der Homöostase zwischen Entzündung, Durchblutung und neuronaler Regulierung.</w:t>
      </w:r>
    </w:p>
    <w:p>
      <w:pPr>
        <w:pStyle w:val="BodyText"/>
      </w:pPr>
      <w:r>
        <w:t xml:space="preserve">Störung</w:t>
      </w:r>
    </w:p>
    <w:p>
      <w:pPr>
        <w:pStyle w:val="BodyText"/>
      </w:pPr>
      <w:r>
        <w:t xml:space="preserve">Trauma oder Entzündung verändern die Prostaglandin-Signalübertragung.</w:t>
      </w:r>
    </w:p>
    <w:p>
      <w:pPr>
        <w:pStyle w:val="BodyText"/>
      </w:pPr>
      <w:r>
        <w:t xml:space="preserve">Rückkopplungsschleife</w:t>
      </w:r>
    </w:p>
    <w:p>
      <w:pPr>
        <w:pStyle w:val="BodyText"/>
      </w:pPr>
      <w:r>
        <w:t xml:space="preserve">Veränderungen der Mikrozirkulation und autonome Reflexe verstärken die Störung.</w:t>
      </w:r>
    </w:p>
    <w:p>
      <w:pPr>
        <w:pStyle w:val="BodyText"/>
      </w:pPr>
      <w:r>
        <w:t xml:space="preserve">Chronischer Zustand</w:t>
      </w:r>
    </w:p>
    <w:p>
      <w:pPr>
        <w:pStyle w:val="BodyText"/>
      </w:pPr>
      <w:r>
        <w:t xml:space="preserve">Der Regelkreis wird selbsttragend.</w:t>
      </w:r>
    </w:p>
    <w:p>
      <w:r>
        <w:pict>
          <v:rect style="width:0;height:1.5pt" o:hralign="center" o:hrstd="t" o:hr="t"/>
        </w:pict>
      </w:r>
    </w:p>
    <w:bookmarkEnd w:id="22"/>
    <w:bookmarkStart w:id="23" w:name="beziehung-zu-crps"/>
    <w:p>
      <w:pPr>
        <w:pStyle w:val="Heading1"/>
      </w:pPr>
      <w:r>
        <w:t xml:space="preserve">8 Beziehung zu CRPS</w:t>
      </w:r>
    </w:p>
    <w:p>
      <w:pPr>
        <w:pStyle w:val="FirstParagraph"/>
      </w:pPr>
      <w:r>
        <w:t xml:space="preserve">Der Rahmen geht davon aus, dass chronischer Schmerz und das komplexe regionale Schmerzsyndrom verschiedene Stadien desselben biologischen Prozesses darstellen.</w:t>
      </w:r>
    </w:p>
    <w:p>
      <w:pPr>
        <w:pStyle w:val="BodyText"/>
      </w:pPr>
      <w:r>
        <w:t xml:space="preserve">Stufenverlauf:</w:t>
      </w:r>
    </w:p>
    <w:p>
      <w:pPr>
        <w:pStyle w:val="BodyText"/>
      </w:pPr>
      <w:r>
        <w:t xml:space="preserve">1 Frühe entzündliche Störung</w:t>
      </w:r>
    </w:p>
    <w:p>
      <w:pPr>
        <w:pStyle w:val="BodyText"/>
      </w:pPr>
      <w:r>
        <w:t xml:space="preserve">2 Chronischer lokalisierter Schmerz</w:t>
      </w:r>
    </w:p>
    <w:p>
      <w:pPr>
        <w:pStyle w:val="BodyText"/>
      </w:pPr>
      <w:r>
        <w:t xml:space="preserve">3 Vegetative Dysregulation</w:t>
      </w:r>
    </w:p>
    <w:p>
      <w:pPr>
        <w:pStyle w:val="BodyText"/>
      </w:pPr>
      <w:r>
        <w:t xml:space="preserve">4 Vollständige CRPS-Manifestation</w:t>
      </w:r>
    </w:p>
    <w:p>
      <w:pPr>
        <w:pStyle w:val="BodyText"/>
      </w:pPr>
      <w:r>
        <w:t xml:space="preserve">Quelle:</w:t>
      </w:r>
    </w:p>
    <w:p>
      <w:pPr>
        <w:pStyle w:val="BodyText"/>
      </w:pPr>
      <w:r>
        <w:t xml:space="preserve">https://chronic-pain-science.nl/hypotheses/crps%20and%20chronic%20pain.html</w:t>
      </w:r>
    </w:p>
    <w:p>
      <w:r>
        <w:pict>
          <v:rect style="width:0;height:1.5pt" o:hralign="center" o:hrstd="t" o:hr="t"/>
        </w:pict>
      </w:r>
    </w:p>
    <w:bookmarkEnd w:id="23"/>
    <w:bookmarkStart w:id="24" w:name="rolle-von-pentoxifyllin"/>
    <w:p>
      <w:pPr>
        <w:pStyle w:val="Heading1"/>
      </w:pPr>
      <w:r>
        <w:t xml:space="preserve">9 Rolle von Pentoxifyllin</w:t>
      </w:r>
    </w:p>
    <w:p>
      <w:pPr>
        <w:pStyle w:val="FirstParagraph"/>
      </w:pPr>
      <w:r>
        <w:t xml:space="preserve">Pentoxifyllin (Trental)</w:t>
      </w:r>
    </w:p>
    <w:p>
      <w:pPr>
        <w:pStyle w:val="BodyText"/>
      </w:pPr>
      <w:r>
        <w:t xml:space="preserve">Pharmakologische Klasse: Methylxanthin-Derivat</w:t>
      </w:r>
    </w:p>
    <w:p>
      <w:pPr>
        <w:pStyle w:val="BodyText"/>
      </w:pPr>
      <w:r>
        <w:t xml:space="preserve">Bekannte physiologische Wirkungen:</w:t>
      </w:r>
    </w:p>
    <w:p>
      <w:pPr>
        <w:pStyle w:val="BodyText"/>
      </w:pPr>
      <w:r>
        <w:t xml:space="preserve">• verbessert die Mikrozirkulation</w:t>
      </w:r>
      <w:r>
        <w:t xml:space="preserve"> </w:t>
      </w:r>
      <w:r>
        <w:t xml:space="preserve">• verringert die Blutviskosität</w:t>
      </w:r>
      <w:r>
        <w:t xml:space="preserve"> </w:t>
      </w:r>
      <w:r>
        <w:t xml:space="preserve">• moduliert entzündliche Zytokine</w:t>
      </w:r>
    </w:p>
    <w:p>
      <w:pPr>
        <w:pStyle w:val="BodyText"/>
      </w:pPr>
      <w:r>
        <w:t xml:space="preserve">Beobachtungsergebnisse deuteten darauf hin, dass sich bei einigen Patienten abnormale thermografische Muster normalisierten.</w:t>
      </w:r>
    </w:p>
    <w:p>
      <w:pPr>
        <w:pStyle w:val="BodyText"/>
      </w:pPr>
      <w:r>
        <w:t xml:space="preserve">Quelle:</w:t>
      </w:r>
    </w:p>
    <w:p>
      <w:pPr>
        <w:pStyle w:val="BodyText"/>
      </w:pPr>
      <w:r>
        <w:t xml:space="preserve">https://chronic-pain-science.nl/study%20results%20general/</w:t>
      </w:r>
    </w:p>
    <w:p>
      <w:r>
        <w:pict>
          <v:rect style="width:0;height:1.5pt" o:hralign="center" o:hrstd="t" o:hr="t"/>
        </w:pict>
      </w:r>
    </w:p>
    <w:bookmarkEnd w:id="24"/>
    <w:bookmarkStart w:id="25" w:name="thermographie-als-physiologische-anzeige"/>
    <w:p>
      <w:pPr>
        <w:pStyle w:val="Heading1"/>
      </w:pPr>
      <w:r>
        <w:t xml:space="preserve">10 Thermographie als physiologische Anzeige</w:t>
      </w:r>
    </w:p>
    <w:p>
      <w:pPr>
        <w:pStyle w:val="FirstParagraph"/>
      </w:pPr>
      <w:r>
        <w:t xml:space="preserve">Thermographie wird nicht als Strukturbildgebung, sondern als Methode zur Beobachtung physiologischer Regulationszustände interpretiert.</w:t>
      </w:r>
    </w:p>
    <w:p>
      <w:pPr>
        <w:pStyle w:val="BodyText"/>
      </w:pPr>
      <w:r>
        <w:t xml:space="preserve">Mögliche Indikatoren:</w:t>
      </w:r>
    </w:p>
    <w:p>
      <w:pPr>
        <w:pStyle w:val="BodyText"/>
      </w:pPr>
      <w:r>
        <w:t xml:space="preserve">• Mikrozirkulationsfluss</w:t>
      </w:r>
      <w:r>
        <w:t xml:space="preserve"> </w:t>
      </w:r>
      <w:r>
        <w:t xml:space="preserve">• autonome Gefäßkontrolle</w:t>
      </w:r>
      <w:r>
        <w:t xml:space="preserve"> </w:t>
      </w:r>
      <w:r>
        <w:t xml:space="preserve">• entzündliche Stoffwechselaktivität</w:t>
      </w:r>
    </w:p>
    <w:p>
      <w:pPr>
        <w:pStyle w:val="BodyText"/>
      </w:pPr>
      <w:r>
        <w:t xml:space="preserve">Somit können thermografische Muster regulatorische Störungen widerspiegeln, selbst wenn die strukturelle Bildgebung normal bleibt.</w:t>
      </w:r>
    </w:p>
    <w:p>
      <w:r>
        <w:pict>
          <v:rect style="width:0;height:1.5pt" o:hralign="center" o:hrstd="t" o:hr="t"/>
        </w:pict>
      </w:r>
    </w:p>
    <w:bookmarkEnd w:id="25"/>
    <w:bookmarkStart w:id="26" w:name="bezug-zur-modernen-schmerzforschung"/>
    <w:p>
      <w:pPr>
        <w:pStyle w:val="Heading1"/>
      </w:pPr>
      <w:r>
        <w:t xml:space="preserve">11 Bezug zur modernen Schmerzforschung</w:t>
      </w:r>
    </w:p>
    <w:p>
      <w:pPr>
        <w:pStyle w:val="FirstParagraph"/>
      </w:pPr>
      <w:r>
        <w:t xml:space="preserve">Mehrere zeitgenössische Forschungsbereiche überschneiden sich teilweise mit den in diesem Modell beschriebenen Konzepten.</w:t>
      </w:r>
    </w:p>
    <w:p>
      <w:pPr>
        <w:pStyle w:val="BodyText"/>
      </w:pPr>
      <w:r>
        <w:t xml:space="preserve">Neuroimmuninteraktionen bei chronischen Schmerzen</w:t>
      </w:r>
    </w:p>
    <w:p>
      <w:pPr>
        <w:pStyle w:val="BodyText"/>
      </w:pPr>
      <w:r>
        <w:t xml:space="preserve">Grace PM et al. (2014)</w:t>
      </w:r>
      <w:r>
        <w:t xml:space="preserve"> </w:t>
      </w:r>
      <w:r>
        <w:t xml:space="preserve">Neuroimmunologie chronischer Schmerzen</w:t>
      </w:r>
      <w:r>
        <w:t xml:space="preserve"> </w:t>
      </w:r>
      <w:r>
        <w:t xml:space="preserve">Nature Reviews Immunologie</w:t>
      </w:r>
    </w:p>
    <w:p>
      <w:pPr>
        <w:pStyle w:val="BodyText"/>
      </w:pPr>
      <w:r>
        <w:t xml:space="preserve">CRPS-Pathophysiologie</w:t>
      </w:r>
    </w:p>
    <w:p>
      <w:pPr>
        <w:pStyle w:val="BodyText"/>
      </w:pPr>
      <w:r>
        <w:t xml:space="preserve">Birklein F &amp; Schlereth T (2015)</w:t>
      </w:r>
      <w:r>
        <w:t xml:space="preserve"> </w:t>
      </w:r>
      <w:r>
        <w:t xml:space="preserve">Komplexes regionales Schmerzsyndrom</w:t>
      </w:r>
      <w:r>
        <w:t xml:space="preserve"> </w:t>
      </w:r>
      <w:r>
        <w:t xml:space="preserve">Lancet-Neurologie</w:t>
      </w:r>
    </w:p>
    <w:p>
      <w:pPr>
        <w:pStyle w:val="BodyText"/>
      </w:pPr>
      <w:r>
        <w:t xml:space="preserve">Mikrozirkulationsforschung</w:t>
      </w:r>
    </w:p>
    <w:p>
      <w:pPr>
        <w:pStyle w:val="BodyText"/>
      </w:pPr>
      <w:r>
        <w:t xml:space="preserve">Renkin EM &amp; Michel CC</w:t>
      </w:r>
      <w:r>
        <w:t xml:space="preserve"> </w:t>
      </w:r>
      <w:r>
        <w:t xml:space="preserve">Handbuch der Physiologie – Mikrozirkulation</w:t>
      </w:r>
    </w:p>
    <w:p>
      <w:pPr>
        <w:pStyle w:val="BodyText"/>
      </w:pPr>
      <w:r>
        <w:t xml:space="preserve">Prostaglandinforschung</w:t>
      </w:r>
    </w:p>
    <w:p>
      <w:pPr>
        <w:pStyle w:val="BodyText"/>
      </w:pPr>
      <w:r>
        <w:t xml:space="preserve">Horrobin DF &amp; Manku MS (1977)</w:t>
      </w:r>
      <w:r>
        <w:t xml:space="preserve"> </w:t>
      </w:r>
      <w:r>
        <w:t xml:space="preserve">Prostaglandine: Physiologie und klinische Bedeutung</w:t>
      </w:r>
    </w:p>
    <w:p>
      <w:r>
        <w:pict>
          <v:rect style="width:0;height:1.5pt" o:hralign="center" o:hrstd="t" o:hr="t"/>
        </w:pict>
      </w:r>
    </w:p>
    <w:bookmarkEnd w:id="26"/>
    <w:bookmarkStart w:id="27" w:name="primärquellen"/>
    <w:p>
      <w:pPr>
        <w:pStyle w:val="Heading1"/>
      </w:pPr>
      <w:r>
        <w:t xml:space="preserve">12 Primärquellen</w:t>
      </w:r>
    </w:p>
    <w:p>
      <w:pPr>
        <w:pStyle w:val="FirstParagraph"/>
      </w:pPr>
      <w:r>
        <w:t xml:space="preserve">Website des Projekts „Chronic Pain Science“.</w:t>
      </w:r>
    </w:p>
    <w:p>
      <w:pPr>
        <w:pStyle w:val="BodyText"/>
      </w:pPr>
      <w:r>
        <w:t xml:space="preserve">https://chronic-pain-science.nl</w:t>
      </w:r>
    </w:p>
    <w:p>
      <w:pPr>
        <w:pStyle w:val="BodyText"/>
      </w:pPr>
      <w:r>
        <w:t xml:space="preserve">Archiv der Studienergebnisse</w:t>
      </w:r>
    </w:p>
    <w:p>
      <w:pPr>
        <w:pStyle w:val="BodyText"/>
      </w:pPr>
      <w:r>
        <w:t xml:space="preserve">https://chronic-pain-science.nl/study%20results%20general/</w:t>
      </w:r>
    </w:p>
    <w:p>
      <w:pPr>
        <w:pStyle w:val="BodyText"/>
      </w:pPr>
      <w:r>
        <w:t xml:space="preserve">Hypothesendokumente</w:t>
      </w:r>
    </w:p>
    <w:p>
      <w:pPr>
        <w:pStyle w:val="BodyText"/>
      </w:pPr>
      <w:r>
        <w:t xml:space="preserve">https://chronic-pain-science.nl/hypotheses/crps%20and%20chronic%20pain.html</w:t>
      </w:r>
    </w:p>
    <w:p>
      <w:pPr>
        <w:pStyle w:val="BodyText"/>
      </w:pPr>
      <w:r>
        <w:t xml:space="preserve">Erweitertes ätiologisches Modell</w:t>
      </w:r>
    </w:p>
    <w:p>
      <w:pPr>
        <w:pStyle w:val="BodyText"/>
      </w:pPr>
      <w:r>
        <w:t xml:space="preserve">https://chronic-pain-science.nl/onewebmedia/An%20aetiological%20model%20of%20chronic%20pain%20and%20CRPS%20March%202018.pdf</w:t>
      </w:r>
    </w:p>
    <w:p>
      <w:pPr>
        <w:pStyle w:val="BodyText"/>
      </w:pPr>
      <w:r>
        <w:t xml:space="preserve">Zeitschrift für Thermografie-Forschung</w:t>
      </w:r>
    </w:p>
    <w:p>
      <w:pPr>
        <w:pStyle w:val="BodyText"/>
      </w:pPr>
      <w:r>
        <w:t xml:space="preserve">Thermologie International</w:t>
      </w:r>
      <w:r>
        <w:t xml:space="preserve"> </w:t>
      </w:r>
      <w:r>
        <w:t xml:space="preserve">http://www.uhlen.at/thermology-international/</w:t>
      </w:r>
    </w:p>
    <w:p>
      <w:pPr>
        <w:pStyle w:val="BodyText"/>
      </w:pPr>
      <w:r>
        <w:t xml:space="preserve">Buch</w:t>
      </w:r>
    </w:p>
    <w:p>
      <w:pPr>
        <w:pStyle w:val="BodyText"/>
      </w:pPr>
      <w:r>
        <w:t xml:space="preserve">Van der Veen P.H.E. (2025)</w:t>
      </w:r>
      <w:r>
        <w:t xml:space="preserve"> </w:t>
      </w:r>
      <w:r>
        <w:t xml:space="preserve">Einblicke in chronische Krankheiten – Das Geheimnis einer Krankheit</w:t>
      </w:r>
      <w:r>
        <w:t xml:space="preserve"> </w:t>
      </w:r>
      <w:r>
        <w:t xml:space="preserve">Buchscout-Verlag</w:t>
      </w:r>
    </w:p>
    <w:p>
      <w:r>
        <w:pict>
          <v:rect style="width:0;height:1.5pt" o:hralign="center" o:hrstd="t" o:hr="t"/>
        </w:pict>
      </w:r>
    </w:p>
    <w:bookmarkEnd w:id="27"/>
    <w:bookmarkStart w:id="30" w:name="X03e2fe6e2269ed38e2c45f9ff38d3491d8f5971"/>
    <w:p>
      <w:pPr>
        <w:pStyle w:val="Heading1"/>
      </w:pPr>
      <w:r>
        <w:t xml:space="preserve">13 Diagramm des integrierten Regulierungssystems</w:t>
      </w:r>
    </w:p>
    <w:p>
      <w:pPr>
        <w:pStyle w:val="FirstParagraph"/>
      </w:pPr>
      <w:r>
        <w:t xml:space="preserve">Das Framework der Chronic Pain Science kann als interagierendes physiologisches Regulierungssystem visualisiert werden. Das folgende Diagramm fasst die hypothetischen Zusammenhänge zwischen Entzündungsmediatoren, Gefäßregulation, neuronalen Reflexen und Schmerzwahrnehmung zusammen.</w:t>
      </w:r>
    </w:p>
    <w:p>
      <w:pPr>
        <w:pStyle w:val="SourceCode"/>
      </w:pPr>
      <w:r>
        <w:rPr>
          <w:rStyle w:val="VerbatimChar"/>
        </w:rPr>
        <w:t xml:space="preserve">Initial Trigger</w:t>
      </w:r>
      <w:r>
        <w:br/>
      </w:r>
      <w:r>
        <w:rPr>
          <w:rStyle w:val="VerbatimChar"/>
        </w:rPr>
        <w:t xml:space="preserve">(trauma, infection, tissue irritation)</w:t>
      </w:r>
      <w:r>
        <w:br/>
      </w:r>
      <w:r>
        <w:rPr>
          <w:rStyle w:val="VerbatimChar"/>
        </w:rPr>
        <w:t xml:space="preserve">        │</w:t>
      </w:r>
      <w:r>
        <w:br/>
      </w:r>
      <w:r>
        <w:rPr>
          <w:rStyle w:val="VerbatimChar"/>
        </w:rPr>
        <w:t xml:space="preserve">        ▼</w:t>
      </w:r>
      <w:r>
        <w:br/>
      </w:r>
      <w:r>
        <w:rPr>
          <w:rStyle w:val="VerbatimChar"/>
        </w:rPr>
        <w:t xml:space="preserve">Inflammatory Activation</w:t>
      </w:r>
      <w:r>
        <w:br/>
      </w:r>
      <w:r>
        <w:rPr>
          <w:rStyle w:val="VerbatimChar"/>
        </w:rPr>
        <w:t xml:space="preserve">(prostaglandins, cytokines)</w:t>
      </w:r>
      <w:r>
        <w:br/>
      </w:r>
      <w:r>
        <w:rPr>
          <w:rStyle w:val="VerbatimChar"/>
        </w:rPr>
        <w:t xml:space="preserve">        │</w:t>
      </w:r>
      <w:r>
        <w:br/>
      </w:r>
      <w:r>
        <w:rPr>
          <w:rStyle w:val="VerbatimChar"/>
        </w:rPr>
        <w:t xml:space="preserve">        ▼</w:t>
      </w:r>
      <w:r>
        <w:br/>
      </w:r>
      <w:r>
        <w:rPr>
          <w:rStyle w:val="VerbatimChar"/>
        </w:rPr>
        <w:t xml:space="preserve">Microcirculatory Regulation</w:t>
      </w:r>
      <w:r>
        <w:br/>
      </w:r>
      <w:r>
        <w:rPr>
          <w:rStyle w:val="VerbatimChar"/>
        </w:rPr>
        <w:t xml:space="preserve">(vasodilation / vasoconstriction balance)</w:t>
      </w:r>
      <w:r>
        <w:br/>
      </w:r>
      <w:r>
        <w:rPr>
          <w:rStyle w:val="VerbatimChar"/>
        </w:rPr>
        <w:t xml:space="preserve">        │</w:t>
      </w:r>
      <w:r>
        <w:br/>
      </w:r>
      <w:r>
        <w:rPr>
          <w:rStyle w:val="VerbatimChar"/>
        </w:rPr>
        <w:t xml:space="preserve">        ▼</w:t>
      </w:r>
      <w:r>
        <w:br/>
      </w:r>
      <w:r>
        <w:rPr>
          <w:rStyle w:val="VerbatimChar"/>
        </w:rPr>
        <w:t xml:space="preserve">Autonomic Nervous System Response</w:t>
      </w:r>
      <w:r>
        <w:br/>
      </w:r>
      <w:r>
        <w:rPr>
          <w:rStyle w:val="VerbatimChar"/>
        </w:rPr>
        <w:t xml:space="preserve">(sympathetic / segmental reflex pathways)</w:t>
      </w:r>
      <w:r>
        <w:br/>
      </w:r>
      <w:r>
        <w:rPr>
          <w:rStyle w:val="VerbatimChar"/>
        </w:rPr>
        <w:t xml:space="preserve">        │</w:t>
      </w:r>
      <w:r>
        <w:br/>
      </w:r>
      <w:r>
        <w:rPr>
          <w:rStyle w:val="VerbatimChar"/>
        </w:rPr>
        <w:t xml:space="preserve">        ▼</w:t>
      </w:r>
      <w:r>
        <w:br/>
      </w:r>
      <w:r>
        <w:rPr>
          <w:rStyle w:val="VerbatimChar"/>
        </w:rPr>
        <w:t xml:space="preserve">Skin Temperature Changes</w:t>
      </w:r>
      <w:r>
        <w:br/>
      </w:r>
      <w:r>
        <w:rPr>
          <w:rStyle w:val="VerbatimChar"/>
        </w:rPr>
        <w:t xml:space="preserve">(measurable by thermography)</w:t>
      </w:r>
      <w:r>
        <w:br/>
      </w:r>
      <w:r>
        <w:rPr>
          <w:rStyle w:val="VerbatimChar"/>
        </w:rPr>
        <w:t xml:space="preserve">        │</w:t>
      </w:r>
      <w:r>
        <w:br/>
      </w:r>
      <w:r>
        <w:rPr>
          <w:rStyle w:val="VerbatimChar"/>
        </w:rPr>
        <w:t xml:space="preserve">        ▼</w:t>
      </w:r>
      <w:r>
        <w:br/>
      </w:r>
      <w:r>
        <w:rPr>
          <w:rStyle w:val="VerbatimChar"/>
        </w:rPr>
        <w:t xml:space="preserve">Pain Perception and Neural Feedback</w:t>
      </w:r>
      <w:r>
        <w:br/>
      </w:r>
      <w:r>
        <w:rPr>
          <w:rStyle w:val="VerbatimChar"/>
        </w:rPr>
        <w:t xml:space="preserve">        │</w:t>
      </w:r>
      <w:r>
        <w:br/>
      </w:r>
      <w:r>
        <w:rPr>
          <w:rStyle w:val="VerbatimChar"/>
        </w:rPr>
        <w:t xml:space="preserve">        ▼</w:t>
      </w:r>
      <w:r>
        <w:br/>
      </w:r>
      <w:r>
        <w:rPr>
          <w:rStyle w:val="VerbatimChar"/>
        </w:rPr>
        <w:t xml:space="preserve">Further Inflammatory Mediator Release</w:t>
      </w:r>
      <w:r>
        <w:br/>
      </w:r>
      <w:r>
        <w:rPr>
          <w:rStyle w:val="VerbatimChar"/>
        </w:rPr>
        <w:t xml:space="preserve">        │</w:t>
      </w:r>
      <w:r>
        <w:br/>
      </w:r>
      <w:r>
        <w:rPr>
          <w:rStyle w:val="VerbatimChar"/>
        </w:rPr>
        <w:t xml:space="preserve">        └─────────────── Feedback Loop ───────────────┘</w:t>
      </w:r>
    </w:p>
    <w:bookmarkStart w:id="28" w:name="interpretation"/>
    <w:p>
      <w:pPr>
        <w:pStyle w:val="Heading3"/>
      </w:pPr>
      <w:r>
        <w:t xml:space="preserve">Interpretation</w:t>
      </w:r>
    </w:p>
    <w:p>
      <w:pPr>
        <w:pStyle w:val="FirstParagraph"/>
      </w:pPr>
      <w:r>
        <w:t xml:space="preserve">Innerhalb dieses Modells:</w:t>
      </w:r>
    </w:p>
    <w:p>
      <w:pPr>
        <w:pStyle w:val="BodyText"/>
      </w:pPr>
      <w:r>
        <w:t xml:space="preserve">•</w:t>
      </w:r>
      <w:r>
        <w:t xml:space="preserve"> </w:t>
      </w:r>
      <w:r>
        <w:rPr>
          <w:b/>
          <w:bCs/>
        </w:rPr>
        <w:t xml:space="preserve">Prostaglandine und Entzündungsmediatoren</w:t>
      </w:r>
      <w:r>
        <w:t xml:space="preserve"> </w:t>
      </w:r>
      <w:r>
        <w:t xml:space="preserve">wirken als biochemische Regulatoren des Gefäßtonus und der Immunsignalisierung.</w:t>
      </w:r>
    </w:p>
    <w:p>
      <w:pPr>
        <w:pStyle w:val="BodyText"/>
      </w:pPr>
      <w:r>
        <w:t xml:space="preserve">•</w:t>
      </w:r>
      <w:r>
        <w:t xml:space="preserve"> </w:t>
      </w:r>
      <w:r>
        <w:rPr>
          <w:b/>
          <w:bCs/>
        </w:rPr>
        <w:t xml:space="preserve">Mikrozirkulation</w:t>
      </w:r>
      <w:r>
        <w:t xml:space="preserve"> </w:t>
      </w:r>
      <w:r>
        <w:t xml:space="preserve">bestimmt die Sauerstoffversorgung des lokalen Gewebes und den Stoffwechselzustand.</w:t>
      </w:r>
    </w:p>
    <w:p>
      <w:pPr>
        <w:pStyle w:val="BodyText"/>
      </w:pPr>
      <w:r>
        <w:t xml:space="preserve">•</w:t>
      </w:r>
      <w:r>
        <w:t xml:space="preserve"> </w:t>
      </w:r>
      <w:r>
        <w:rPr>
          <w:b/>
          <w:bCs/>
        </w:rPr>
        <w:t xml:space="preserve">Wege des autonomen Nervensystems</w:t>
      </w:r>
      <w:r>
        <w:t xml:space="preserve"> </w:t>
      </w:r>
      <w:r>
        <w:t xml:space="preserve">modulieren Gefäßreaktionen und segmentale Reflexaktivität.</w:t>
      </w:r>
    </w:p>
    <w:p>
      <w:pPr>
        <w:pStyle w:val="BodyText"/>
      </w:pPr>
      <w:r>
        <w:t xml:space="preserve">•</w:t>
      </w:r>
      <w:r>
        <w:t xml:space="preserve"> </w:t>
      </w:r>
      <w:r>
        <w:rPr>
          <w:b/>
          <w:bCs/>
        </w:rPr>
        <w:t xml:space="preserve">Thermographie</w:t>
      </w:r>
      <w:r>
        <w:t xml:space="preserve"> </w:t>
      </w:r>
      <w:r>
        <w:t xml:space="preserve">bietet eine beobachtbare Oberflächenmanifestation dieser physiologischen Regulierungszustände.</w:t>
      </w:r>
    </w:p>
    <w:p>
      <w:pPr>
        <w:pStyle w:val="BodyText"/>
      </w:pPr>
      <w:r>
        <w:t xml:space="preserve">Wenn der Regelkreis fehlreguliert wird, stabilisiert sich das System möglicherweise in einem pathologischen Gleichgewicht, das durch anhaltende Schmerzen und abnormale thermische Muster gekennzeichnet ist.</w:t>
      </w:r>
    </w:p>
    <w:bookmarkEnd w:id="28"/>
    <w:bookmarkStart w:id="29" w:name="dynamische-temperaturphasen"/>
    <w:p>
      <w:pPr>
        <w:pStyle w:val="Heading3"/>
      </w:pPr>
      <w:r>
        <w:t xml:space="preserve">Dynamische Temperaturphasen</w:t>
      </w:r>
    </w:p>
    <w:p>
      <w:pPr>
        <w:pStyle w:val="FirstParagraph"/>
      </w:pPr>
      <w:r>
        <w:t xml:space="preserve">Das Framework interpretiert thermografische Muster dynamisch im Zeitverlauf:</w:t>
      </w:r>
    </w:p>
    <w:p>
      <w:pPr>
        <w:pStyle w:val="BodyText"/>
      </w:pPr>
      <w:r>
        <w:t xml:space="preserve">Phase 1 – Akute Entzündung</w:t>
      </w:r>
    </w:p>
    <w:p>
      <w:pPr>
        <w:pStyle w:val="BodyText"/>
      </w:pPr>
      <w:r>
        <w:t xml:space="preserve">Lokale Vasodilatation erzeugt warme thermografische Muster.</w:t>
      </w:r>
    </w:p>
    <w:p>
      <w:pPr>
        <w:pStyle w:val="BodyText"/>
      </w:pPr>
      <w:r>
        <w:t xml:space="preserve">Phase 2 – Regulatorische Instabilität</w:t>
      </w:r>
    </w:p>
    <w:p>
      <w:pPr>
        <w:pStyle w:val="BodyText"/>
      </w:pPr>
      <w:r>
        <w:t xml:space="preserve">Abwechselnde Vasodilatation und Vasokonstriktion erzeugen schwankende thermische Signale.</w:t>
      </w:r>
    </w:p>
    <w:p>
      <w:pPr>
        <w:pStyle w:val="BodyText"/>
      </w:pPr>
      <w:r>
        <w:t xml:space="preserve">Phase 3 – Chronische Dysregulation</w:t>
      </w:r>
    </w:p>
    <w:p>
      <w:pPr>
        <w:pStyle w:val="BodyText"/>
      </w:pPr>
      <w:r>
        <w:t xml:space="preserve">Eine anhaltende Vasokonstriktion führt zu kalten thermografischen Zonen, die mit chronischen Schmerzen einhergehen.</w:t>
      </w:r>
    </w:p>
    <w:p>
      <w:pPr>
        <w:pStyle w:val="BodyText"/>
      </w:pPr>
      <w:r>
        <w:t xml:space="preserve">Diese Sequenz versucht zu erklären, warum chronische Schmerzbereiche trotz anhaltender Pathologie häufig eher kälter als wärmer sind.</w:t>
      </w:r>
    </w:p>
    <w:bookmarkEnd w:id="29"/>
    <w:bookmarkEnd w:id="30"/>
    <w:bookmarkStart w:id="34" w:name="interpretation-der-kontrolltheorie"/>
    <w:p>
      <w:pPr>
        <w:pStyle w:val="Heading1"/>
      </w:pPr>
      <w:r>
        <w:t xml:space="preserve">14 Interpretation der Kontrolltheorie</w:t>
      </w:r>
    </w:p>
    <w:p>
      <w:pPr>
        <w:pStyle w:val="FirstParagraph"/>
      </w:pPr>
      <w:r>
        <w:t xml:space="preserve">Das Chronic Pain Science-Modell kann auch mit Konzepten aus der Kontrolltheorie und der Systembiologie ausgedrückt werden. In dieser Interpretation verhält sich das Schmerzsystem als biologischer Regelkreis bestehend aus Eingängen, Steuervariablen, Sensoren und Ausgängen.</w:t>
      </w:r>
    </w:p>
    <w:bookmarkStart w:id="31" w:name="systemkomponenten"/>
    <w:p>
      <w:pPr>
        <w:pStyle w:val="Heading3"/>
      </w:pPr>
      <w:r>
        <w:t xml:space="preserve">Systemkomponenten</w:t>
      </w:r>
    </w:p>
    <w:p>
      <w:pPr>
        <w:pStyle w:val="FirstParagraph"/>
      </w:pPr>
      <w:r>
        <w:t xml:space="preserve">Eingang (Störung)</w:t>
      </w:r>
    </w:p>
    <w:p>
      <w:pPr>
        <w:pStyle w:val="BodyText"/>
      </w:pPr>
      <w:r>
        <w:t xml:space="preserve">• Trauma</w:t>
      </w:r>
      <w:r>
        <w:t xml:space="preserve"> </w:t>
      </w:r>
      <w:r>
        <w:t xml:space="preserve">• Infektion</w:t>
      </w:r>
      <w:r>
        <w:t xml:space="preserve"> </w:t>
      </w:r>
      <w:r>
        <w:t xml:space="preserve">• Gewebereizung</w:t>
      </w:r>
      <w:r>
        <w:t xml:space="preserve"> </w:t>
      </w:r>
      <w:r>
        <w:t xml:space="preserve">• mechanische Beanspruchung</w:t>
      </w:r>
    </w:p>
    <w:p>
      <w:pPr>
        <w:pStyle w:val="BodyText"/>
      </w:pPr>
      <w:r>
        <w:t xml:space="preserve">Kontrollvariable</w:t>
      </w:r>
    </w:p>
    <w:p>
      <w:pPr>
        <w:pStyle w:val="BodyText"/>
      </w:pPr>
      <w:r>
        <w:t xml:space="preserve">• Prostaglandin-Gleichgewicht (zum Beispiel relative Aktivität der PGE- und PGF-Familien)</w:t>
      </w:r>
    </w:p>
    <w:p>
      <w:pPr>
        <w:pStyle w:val="BodyText"/>
      </w:pPr>
      <w:r>
        <w:t xml:space="preserve">Aktuator</w:t>
      </w:r>
    </w:p>
    <w:p>
      <w:pPr>
        <w:pStyle w:val="BodyText"/>
      </w:pPr>
      <w:r>
        <w:t xml:space="preserve">• Mikrozirkulation</w:t>
      </w:r>
      <w:r>
        <w:t xml:space="preserve"> </w:t>
      </w:r>
      <w:r>
        <w:t xml:space="preserve">• Gefäßtonus</w:t>
      </w:r>
      <w:r>
        <w:t xml:space="preserve"> </w:t>
      </w:r>
      <w:r>
        <w:t xml:space="preserve">• lokale Gewebedurchblutung</w:t>
      </w:r>
    </w:p>
    <w:p>
      <w:pPr>
        <w:pStyle w:val="BodyText"/>
      </w:pPr>
      <w:r>
        <w:t xml:space="preserve">Sensor</w:t>
      </w:r>
    </w:p>
    <w:p>
      <w:pPr>
        <w:pStyle w:val="BodyText"/>
      </w:pPr>
      <w:r>
        <w:t xml:space="preserve">• Thermografisches Temperaturmuster der Haut</w:t>
      </w:r>
    </w:p>
    <w:p>
      <w:pPr>
        <w:pStyle w:val="BodyText"/>
      </w:pPr>
      <w:r>
        <w:t xml:space="preserve">Ausgabe</w:t>
      </w:r>
    </w:p>
    <w:p>
      <w:pPr>
        <w:pStyle w:val="BodyText"/>
      </w:pPr>
      <w:r>
        <w:t xml:space="preserve">• empfundener Schmerz</w:t>
      </w:r>
      <w:r>
        <w:t xml:space="preserve"> </w:t>
      </w:r>
      <w:r>
        <w:t xml:space="preserve">• autonome Reaktion</w:t>
      </w:r>
      <w:r>
        <w:t xml:space="preserve"> </w:t>
      </w:r>
      <w:r>
        <w:t xml:space="preserve">• Entzündungsmediatorsignalisierung</w:t>
      </w:r>
    </w:p>
    <w:bookmarkEnd w:id="31"/>
    <w:bookmarkStart w:id="32" w:name="regulierungsschleife"/>
    <w:p>
      <w:pPr>
        <w:pStyle w:val="Heading3"/>
      </w:pPr>
      <w:r>
        <w:t xml:space="preserve">Regulierungsschleife</w:t>
      </w:r>
    </w:p>
    <w:p>
      <w:pPr>
        <w:pStyle w:val="SourceCode"/>
      </w:pPr>
      <w:r>
        <w:rPr>
          <w:rStyle w:val="VerbatimChar"/>
        </w:rPr>
        <w:t xml:space="preserve">Disturbance (injury or irritation)</w:t>
      </w:r>
      <w:r>
        <w:br/>
      </w:r>
      <w:r>
        <w:rPr>
          <w:rStyle w:val="VerbatimChar"/>
        </w:rPr>
        <w:t xml:space="preserve">        │</w:t>
      </w:r>
      <w:r>
        <w:br/>
      </w:r>
      <w:r>
        <w:rPr>
          <w:rStyle w:val="VerbatimChar"/>
        </w:rPr>
        <w:t xml:space="preserve">        ▼</w:t>
      </w:r>
      <w:r>
        <w:br/>
      </w:r>
      <w:r>
        <w:rPr>
          <w:rStyle w:val="VerbatimChar"/>
        </w:rPr>
        <w:t xml:space="preserve">Prostaglandin signaling changes</w:t>
      </w:r>
      <w:r>
        <w:br/>
      </w:r>
      <w:r>
        <w:rPr>
          <w:rStyle w:val="VerbatimChar"/>
        </w:rPr>
        <w:t xml:space="preserve">(control variable)</w:t>
      </w:r>
      <w:r>
        <w:br/>
      </w:r>
      <w:r>
        <w:rPr>
          <w:rStyle w:val="VerbatimChar"/>
        </w:rPr>
        <w:t xml:space="preserve">        │</w:t>
      </w:r>
      <w:r>
        <w:br/>
      </w:r>
      <w:r>
        <w:rPr>
          <w:rStyle w:val="VerbatimChar"/>
        </w:rPr>
        <w:t xml:space="preserve">        ▼</w:t>
      </w:r>
      <w:r>
        <w:br/>
      </w:r>
      <w:r>
        <w:rPr>
          <w:rStyle w:val="VerbatimChar"/>
        </w:rPr>
        <w:t xml:space="preserve">Altered vascular tone</w:t>
      </w:r>
      <w:r>
        <w:br/>
      </w:r>
      <w:r>
        <w:rPr>
          <w:rStyle w:val="VerbatimChar"/>
        </w:rPr>
        <w:t xml:space="preserve">(microcirculation actuator)</w:t>
      </w:r>
      <w:r>
        <w:br/>
      </w:r>
      <w:r>
        <w:rPr>
          <w:rStyle w:val="VerbatimChar"/>
        </w:rPr>
        <w:t xml:space="preserve">        │</w:t>
      </w:r>
      <w:r>
        <w:br/>
      </w:r>
      <w:r>
        <w:rPr>
          <w:rStyle w:val="VerbatimChar"/>
        </w:rPr>
        <w:t xml:space="preserve">        ▼</w:t>
      </w:r>
      <w:r>
        <w:br/>
      </w:r>
      <w:r>
        <w:rPr>
          <w:rStyle w:val="VerbatimChar"/>
        </w:rPr>
        <w:t xml:space="preserve">Skin temperature pattern</w:t>
      </w:r>
      <w:r>
        <w:br/>
      </w:r>
      <w:r>
        <w:rPr>
          <w:rStyle w:val="VerbatimChar"/>
        </w:rPr>
        <w:t xml:space="preserve">(sensor observable by thermography)</w:t>
      </w:r>
      <w:r>
        <w:br/>
      </w:r>
      <w:r>
        <w:rPr>
          <w:rStyle w:val="VerbatimChar"/>
        </w:rPr>
        <w:t xml:space="preserve">        │</w:t>
      </w:r>
      <w:r>
        <w:br/>
      </w:r>
      <w:r>
        <w:rPr>
          <w:rStyle w:val="VerbatimChar"/>
        </w:rPr>
        <w:t xml:space="preserve">        ▼</w:t>
      </w:r>
      <w:r>
        <w:br/>
      </w:r>
      <w:r>
        <w:rPr>
          <w:rStyle w:val="VerbatimChar"/>
        </w:rPr>
        <w:t xml:space="preserve">Neural perception of pain</w:t>
      </w:r>
      <w:r>
        <w:br/>
      </w:r>
      <w:r>
        <w:rPr>
          <w:rStyle w:val="VerbatimChar"/>
        </w:rPr>
        <w:t xml:space="preserve">(system output)</w:t>
      </w:r>
      <w:r>
        <w:br/>
      </w:r>
      <w:r>
        <w:rPr>
          <w:rStyle w:val="VerbatimChar"/>
        </w:rPr>
        <w:t xml:space="preserve">        │</w:t>
      </w:r>
      <w:r>
        <w:br/>
      </w:r>
      <w:r>
        <w:rPr>
          <w:rStyle w:val="VerbatimChar"/>
        </w:rPr>
        <w:t xml:space="preserve">        ▼</w:t>
      </w:r>
      <w:r>
        <w:br/>
      </w:r>
      <w:r>
        <w:rPr>
          <w:rStyle w:val="VerbatimChar"/>
        </w:rPr>
        <w:t xml:space="preserve">Autonomic and inflammatory feedback</w:t>
      </w:r>
      <w:r>
        <w:br/>
      </w:r>
      <w:r>
        <w:rPr>
          <w:rStyle w:val="VerbatimChar"/>
        </w:rPr>
        <w:t xml:space="preserve">        │</w:t>
      </w:r>
      <w:r>
        <w:br/>
      </w:r>
      <w:r>
        <w:rPr>
          <w:rStyle w:val="VerbatimChar"/>
        </w:rPr>
        <w:t xml:space="preserve">        └──────── feedback to prostaglandin regulation ────────┘</w:t>
      </w:r>
    </w:p>
    <w:p>
      <w:pPr>
        <w:pStyle w:val="FirstParagraph"/>
      </w:pPr>
      <w:r>
        <w:t xml:space="preserve">In diesem Modell treten chronische Schmerzen auf, wenn der Regelkreis in einen pathologischen Gleichgewichtszustand gerät. Anstatt nach der anfänglichen Störung zur Homöostase zurückzukehren, verstärkt die Rückkopplung zwischen Entzündungsmediatoren, Gefäßregulation und neuronalen Signalen den veränderten Zustand weiter.</w:t>
      </w:r>
    </w:p>
    <w:p>
      <w:pPr>
        <w:pStyle w:val="BodyText"/>
      </w:pPr>
      <w:r>
        <w:t xml:space="preserve">Diese Systeminterpretation erklärt mehrere Beobachtungen, die in der Arbeit Chronic Pain Science beschrieben werden:</w:t>
      </w:r>
    </w:p>
    <w:p>
      <w:pPr>
        <w:pStyle w:val="BodyText"/>
      </w:pPr>
      <w:r>
        <w:t xml:space="preserve">• anhaltender Schmerz ohne strukturelle Pathologie</w:t>
      </w:r>
      <w:r>
        <w:t xml:space="preserve"> </w:t>
      </w:r>
      <w:r>
        <w:t xml:space="preserve">• Temperaturanomalien, die durch Thermographie erkennbar sind</w:t>
      </w:r>
      <w:r>
        <w:t xml:space="preserve"> </w:t>
      </w:r>
      <w:r>
        <w:t xml:space="preserve">• Schmerzmodulation durch Wirkstoffe, die die Mikrozirkulation beeinflussen, oder Entzündungsmediatoren</w:t>
      </w:r>
    </w:p>
    <w:bookmarkEnd w:id="32"/>
    <w:bookmarkStart w:id="33" w:name="implikationen-des-systemmodells"/>
    <w:p>
      <w:pPr>
        <w:pStyle w:val="Heading3"/>
      </w:pPr>
      <w:r>
        <w:t xml:space="preserve">Implikationen des Systemmodells</w:t>
      </w:r>
    </w:p>
    <w:p>
      <w:pPr>
        <w:pStyle w:val="FirstParagraph"/>
      </w:pPr>
      <w:r>
        <w:t xml:space="preserve">Wenn die Systemperspektive korrekt ist, sollten chronische Schmerzen als dysregulierter physiologischer Regelkreis und nicht nur als Gewebeschädigung oder isolierte neuronale Dysfunktion interpretiert werden.</w:t>
      </w:r>
    </w:p>
    <w:p>
      <w:pPr>
        <w:pStyle w:val="BodyText"/>
      </w:pPr>
      <w:r>
        <w:t xml:space="preserve">Interventionen könnten daher theoretisch auf mehrere Teile des Kreislaufs abzielen:</w:t>
      </w:r>
    </w:p>
    <w:p>
      <w:pPr>
        <w:pStyle w:val="BodyText"/>
      </w:pPr>
      <w:r>
        <w:t xml:space="preserve">• Entzündungsmediatoren</w:t>
      </w:r>
      <w:r>
        <w:t xml:space="preserve"> </w:t>
      </w:r>
      <w:r>
        <w:t xml:space="preserve">• Gefäßregulation</w:t>
      </w:r>
      <w:r>
        <w:t xml:space="preserve"> </w:t>
      </w:r>
      <w:r>
        <w:t xml:space="preserve">• Gleichgewicht des autonomen Nervensystems</w:t>
      </w:r>
      <w:r>
        <w:t xml:space="preserve"> </w:t>
      </w:r>
      <w:r>
        <w:t xml:space="preserve">• zentrale Schmerzverarbeitung</w:t>
      </w:r>
    </w:p>
    <w:p>
      <w:pPr>
        <w:pStyle w:val="BodyText"/>
      </w:pPr>
      <w:r>
        <w:t xml:space="preserve">Das Verständnis chronischer Schmerzen auf diese Weise kann helfen zu erklären, warum unterschiedliche Behandlungen die Symptome beeinflussen können, selbst wenn keine strukturelle Pathologie erkennbar ist.</w:t>
      </w:r>
    </w:p>
    <w:bookmarkEnd w:id="33"/>
    <w:bookmarkEnd w:id="34"/>
    <w:bookmarkStart w:id="35" w:name="abschluss"/>
    <w:p>
      <w:pPr>
        <w:pStyle w:val="Heading1"/>
      </w:pPr>
      <w:r>
        <w:t xml:space="preserve">Abschluss</w:t>
      </w:r>
    </w:p>
    <w:p>
      <w:pPr>
        <w:pStyle w:val="FirstParagraph"/>
      </w:pPr>
      <w:r>
        <w:t xml:space="preserve">Das Rahmenwerk der Chronic Pain Science geht davon aus, dass anhaltende Schmerzen durch dysregulierte physiologische Rückkopplungsschleifen entstehen können, an denen Entzündungsmediatoren, Gefäßregulation und neuronale Reflexsysteme beteiligt sind.</w:t>
      </w:r>
    </w:p>
    <w:p>
      <w:pPr>
        <w:pStyle w:val="BodyText"/>
      </w:pPr>
      <w:r>
        <w:t xml:space="preserve">Als Hilfsmittel zur Visualisierung dieser regulatorischen Störungen wird die Thermografie vorgeschlagen.</w:t>
      </w:r>
    </w:p>
    <w:p>
      <w:pPr>
        <w:pStyle w:val="BodyText"/>
      </w:pPr>
      <w:r>
        <w:t xml:space="preserve">Weitere unabhängige Forschung wäre erforderlich, um die Mechanismen zu bewerten und die klinische Anwendbarkeit des Modells zu bestimmen.</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2026-03-08T00:05:18Z</dcterms:created>
  <dcterms:modified xsi:type="dcterms:W3CDTF">2026-03-08T00:05:18Z</dcterms:modified>
</cp:coreProperties>
</file>

<file path=docProps/custom.xml><?xml version="1.0" encoding="utf-8"?>
<Properties xmlns="http://schemas.openxmlformats.org/officeDocument/2006/custom-properties" xmlns:vt="http://schemas.openxmlformats.org/officeDocument/2006/docPropsVTypes"/>
</file>