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ronic-pain-model-v2"/>
    <w:p>
      <w:pPr>
        <w:pStyle w:val="Heading1"/>
      </w:pPr>
      <w:r>
        <w:t xml:space="preserve">Chronic Pain Model V2</w:t>
      </w:r>
    </w:p>
    <w:bookmarkStart w:id="9" w:name="scope"/>
    <w:p>
      <w:pPr>
        <w:pStyle w:val="Heading2"/>
      </w:pPr>
      <w:r>
        <w:t xml:space="preserve">1. Scope</w:t>
      </w:r>
    </w:p>
    <w:p>
      <w:pPr>
        <w:pStyle w:val="FirstParagraph"/>
      </w:pPr>
      <w:r>
        <w:t xml:space="preserve">This document defines the chronic pain model as a deterministic control systems model with explicit regulatory layers. The objective is to preserve traceability from mechanism hypotheses to physiological readout and pain perception.</w:t>
      </w:r>
    </w:p>
    <w:bookmarkEnd w:id="9"/>
    <w:bookmarkStart w:id="10" w:name="conceptual-foundation"/>
    <w:p>
      <w:pPr>
        <w:pStyle w:val="Heading2"/>
      </w:pPr>
      <w:r>
        <w:t xml:space="preserve">2. Conceptual Foundation</w:t>
      </w:r>
    </w:p>
    <w:p>
      <w:pPr>
        <w:pStyle w:val="FirstParagraph"/>
      </w:pPr>
      <w:r>
        <w:t xml:space="preserve">Chronic pain is modeled as a multi-layer regulatory system where inflammatory mediators, neurovascular signaling, and microcirculation interact through feedback loop dynamics. The model assumes that persistent dysregulation can stabilize into maladaptive setpoints.</w:t>
      </w:r>
    </w:p>
    <w:bookmarkEnd w:id="10"/>
    <w:bookmarkStart w:id="13" w:name="prostaglandin-regulatory-model"/>
    <w:p>
      <w:pPr>
        <w:pStyle w:val="Heading2"/>
      </w:pPr>
      <w:r>
        <w:t xml:space="preserve">3. Prostaglandin Regulatory Model</w:t>
      </w:r>
    </w:p>
    <w:p>
      <w:pPr>
        <w:pStyle w:val="FirstParagraph"/>
      </w:pPr>
      <w:r>
        <w:t xml:space="preserve">The prostaglandin regulatory model is used as the biochemical control layer for inflammatory amplification and resolution timing.</w:t>
      </w:r>
    </w:p>
    <w:bookmarkStart w:id="11" w:name="core-variables"/>
    <w:p>
      <w:pPr>
        <w:pStyle w:val="Heading3"/>
      </w:pPr>
      <w:r>
        <w:t xml:space="preserve">3.1 Core Variables</w:t>
      </w:r>
    </w:p>
    <w:p>
      <w:pPr>
        <w:pStyle w:val="Compact"/>
        <w:numPr>
          <w:ilvl w:val="0"/>
          <w:numId w:val="1001"/>
        </w:numPr>
      </w:pPr>
      <w:r>
        <w:t xml:space="preserve">Prostaglandin synthesis pressure</w:t>
      </w:r>
    </w:p>
    <w:p>
      <w:pPr>
        <w:pStyle w:val="Compact"/>
        <w:numPr>
          <w:ilvl w:val="0"/>
          <w:numId w:val="1001"/>
        </w:numPr>
      </w:pPr>
      <w:r>
        <w:t xml:space="preserve">Receptor sensitivity state</w:t>
      </w:r>
    </w:p>
    <w:p>
      <w:pPr>
        <w:pStyle w:val="Compact"/>
        <w:numPr>
          <w:ilvl w:val="0"/>
          <w:numId w:val="1001"/>
        </w:numPr>
      </w:pPr>
      <w:r>
        <w:t xml:space="preserve">Local tissue oxygenation</w:t>
      </w:r>
    </w:p>
    <w:p>
      <w:pPr>
        <w:pStyle w:val="Compact"/>
        <w:numPr>
          <w:ilvl w:val="0"/>
          <w:numId w:val="1001"/>
        </w:numPr>
      </w:pPr>
      <w:r>
        <w:t xml:space="preserve">Cytokine activation burden</w:t>
      </w:r>
    </w:p>
    <w:bookmarkEnd w:id="11"/>
    <w:bookmarkStart w:id="12" w:name="regulatory-assumption"/>
    <w:p>
      <w:pPr>
        <w:pStyle w:val="Heading3"/>
      </w:pPr>
      <w:r>
        <w:t xml:space="preserve">3.2 Regulatory Assumption</w:t>
      </w:r>
    </w:p>
    <w:p>
      <w:pPr>
        <w:pStyle w:val="FirstParagraph"/>
      </w:pPr>
      <w:r>
        <w:t xml:space="preserve">The net mediator load is represented as a bounded state variable that drives downstream nociceptive threshold adaptation.</w:t>
      </w:r>
    </w:p>
    <w:bookmarkEnd w:id="12"/>
    <w:bookmarkEnd w:id="13"/>
    <w:bookmarkStart w:id="16" w:name="control-systems-model"/>
    <w:p>
      <w:pPr>
        <w:pStyle w:val="Heading2"/>
      </w:pPr>
      <w:r>
        <w:t xml:space="preserve">4. Control Systems Model</w:t>
      </w:r>
    </w:p>
    <w:p>
      <w:pPr>
        <w:pStyle w:val="FirstParagraph"/>
      </w:pPr>
      <w:r>
        <w:t xml:space="preserve">The control systems model links peripheral inputs to central modulation using nested controllers and error-correction loops.</w:t>
      </w:r>
    </w:p>
    <w:bookmarkStart w:id="14" w:name="controller-layers"/>
    <w:p>
      <w:pPr>
        <w:pStyle w:val="Heading3"/>
      </w:pPr>
      <w:r>
        <w:t xml:space="preserve">4.1 Controller Layers</w:t>
      </w:r>
    </w:p>
    <w:p>
      <w:pPr>
        <w:pStyle w:val="Compact"/>
        <w:numPr>
          <w:ilvl w:val="0"/>
          <w:numId w:val="1002"/>
        </w:numPr>
      </w:pPr>
      <w:r>
        <w:t xml:space="preserve">Peripheral inflammatory controller</w:t>
      </w:r>
    </w:p>
    <w:p>
      <w:pPr>
        <w:pStyle w:val="Compact"/>
        <w:numPr>
          <w:ilvl w:val="0"/>
          <w:numId w:val="1002"/>
        </w:numPr>
      </w:pPr>
      <w:r>
        <w:t xml:space="preserve">Vascular-microcirculatory controller</w:t>
      </w:r>
    </w:p>
    <w:p>
      <w:pPr>
        <w:pStyle w:val="Compact"/>
        <w:numPr>
          <w:ilvl w:val="0"/>
          <w:numId w:val="1002"/>
        </w:numPr>
      </w:pPr>
      <w:r>
        <w:t xml:space="preserve">Central modulation controller</w:t>
      </w:r>
    </w:p>
    <w:bookmarkEnd w:id="14"/>
    <w:bookmarkStart w:id="15" w:name="state-transition-rule"/>
    <w:p>
      <w:pPr>
        <w:pStyle w:val="Heading3"/>
      </w:pPr>
      <w:r>
        <w:t xml:space="preserve">4.2 State Transition Rule</w:t>
      </w:r>
    </w:p>
    <w:p>
      <w:pPr>
        <w:pStyle w:val="FirstParagraph"/>
      </w:pPr>
      <w:r>
        <w:t xml:space="preserve">A transition from acute to chronic behavior occurs when compensatory corrections increase long-term gain instead of reducing error.</w:t>
      </w:r>
    </w:p>
    <w:bookmarkEnd w:id="15"/>
    <w:bookmarkEnd w:id="16"/>
    <w:bookmarkStart w:id="17" w:name="X789988ef5360fdadd20b00517aaf373c4665520"/>
    <w:p>
      <w:pPr>
        <w:pStyle w:val="Heading2"/>
      </w:pPr>
      <w:r>
        <w:t xml:space="preserve">5. Viscero-Cutaneous Reflex and Microcirculation</w:t>
      </w:r>
    </w:p>
    <w:p>
      <w:pPr>
        <w:pStyle w:val="FirstParagraph"/>
      </w:pPr>
      <w:r>
        <w:t xml:space="preserve">The viscero-cutaneous reflex is treated as a coupling pathway between internal organ stress and cutaneous/muscular pain zones. Microcirculation is modeled as a constrained transport network sensitive to mediator concentration.</w:t>
      </w:r>
    </w:p>
    <w:p>
      <w:pPr>
        <w:pStyle w:val="SourceCode"/>
      </w:pPr>
      <w:r>
        <w:rPr>
          <w:rStyle w:val="VerbatimChar"/>
        </w:rPr>
        <w:t xml:space="preserve">[Inflammatory mediators] --&gt; [Microcirculation shift] --&gt; [Tissue stress]</w:t>
      </w:r>
      <w:r>
        <w:br/>
      </w:r>
      <w:r>
        <w:rPr>
          <w:rStyle w:val="VerbatimChar"/>
        </w:rPr>
        <w:t xml:space="preserve">          ^                                               |</w:t>
      </w:r>
      <w:r>
        <w:br/>
      </w:r>
      <w:r>
        <w:rPr>
          <w:rStyle w:val="VerbatimChar"/>
        </w:rPr>
        <w:t xml:space="preserve">          |------------------- [feedback loop] -----------|</w:t>
      </w:r>
    </w:p>
    <w:bookmarkEnd w:id="17"/>
    <w:bookmarkStart w:id="18" w:name="physiological-readout-layer"/>
    <w:p>
      <w:pPr>
        <w:pStyle w:val="Heading2"/>
      </w:pPr>
      <w:r>
        <w:t xml:space="preserve">6. Physiological Readout Layer</w:t>
      </w:r>
    </w:p>
    <w:p>
      <w:pPr>
        <w:pStyle w:val="FirstParagraph"/>
      </w:pPr>
      <w:r>
        <w:t xml:space="preserve">Physiological readout integrates measurable indicators used for model calibration.</w:t>
      </w:r>
    </w:p>
    <w:p>
      <w:pPr>
        <w:pStyle w:val="Compact"/>
        <w:numPr>
          <w:ilvl w:val="0"/>
          <w:numId w:val="1003"/>
        </w:numPr>
      </w:pPr>
      <w:r>
        <w:t xml:space="preserve">Skin temperature gradient</w:t>
      </w:r>
    </w:p>
    <w:p>
      <w:pPr>
        <w:pStyle w:val="Compact"/>
        <w:numPr>
          <w:ilvl w:val="0"/>
          <w:numId w:val="1003"/>
        </w:numPr>
      </w:pPr>
      <w:r>
        <w:t xml:space="preserve">Local perfusion variation</w:t>
      </w:r>
    </w:p>
    <w:p>
      <w:pPr>
        <w:pStyle w:val="Compact"/>
        <w:numPr>
          <w:ilvl w:val="0"/>
          <w:numId w:val="1003"/>
        </w:numPr>
      </w:pPr>
      <w:r>
        <w:t xml:space="preserve">Pressure pain threshold</w:t>
      </w:r>
    </w:p>
    <w:p>
      <w:pPr>
        <w:pStyle w:val="Compact"/>
        <w:numPr>
          <w:ilvl w:val="0"/>
          <w:numId w:val="1003"/>
        </w:numPr>
      </w:pPr>
      <w:r>
        <w:t xml:space="preserve">Resting autonomic balance</w:t>
      </w:r>
    </w:p>
    <w:bookmarkEnd w:id="18"/>
    <w:bookmarkStart w:id="19" w:name="pain-perception-layer"/>
    <w:p>
      <w:pPr>
        <w:pStyle w:val="Heading2"/>
      </w:pPr>
      <w:r>
        <w:t xml:space="preserve">7. Pain Perception Layer</w:t>
      </w:r>
    </w:p>
    <w:p>
      <w:pPr>
        <w:pStyle w:val="FirstParagraph"/>
      </w:pPr>
      <w:r>
        <w:t xml:space="preserve">Pain perception is represented as the output of weighted nociceptive input, contextual modulation, and adaptation history.</w:t>
      </w:r>
    </w:p>
    <w:p>
      <w:pPr>
        <w:pStyle w:val="SourceCode"/>
      </w:pPr>
      <w:r>
        <w:rPr>
          <w:rStyle w:val="VerbatimChar"/>
        </w:rPr>
        <w:t xml:space="preserve">Pain perception = f(nociceptive input, contextual modulation, adaptation history)</w:t>
      </w:r>
    </w:p>
    <w:bookmarkEnd w:id="19"/>
    <w:bookmarkStart w:id="20" w:name="references"/>
    <w:p>
      <w:pPr>
        <w:pStyle w:val="Heading2"/>
      </w:pPr>
      <w:r>
        <w:t xml:space="preserve">8. References</w:t>
      </w:r>
    </w:p>
    <w:p>
      <w:pPr>
        <w:pStyle w:val="Compact"/>
        <w:numPr>
          <w:ilvl w:val="0"/>
          <w:numId w:val="1004"/>
        </w:numPr>
      </w:pPr>
      <w:r>
        <w:t xml:space="preserve">Basbaum AI, Bautista DM, Scherrer G, Julius D. Cellular and Molecular Mechanisms of Pain. https://www.cell.com/cell/fulltext/S0092-8674(09)01488-3 (2009)</w:t>
      </w:r>
    </w:p>
    <w:p>
      <w:pPr>
        <w:pStyle w:val="Compact"/>
        <w:numPr>
          <w:ilvl w:val="0"/>
          <w:numId w:val="1004"/>
        </w:numPr>
      </w:pPr>
      <w:r>
        <w:t xml:space="preserve">Tracey I, Bushnell MC. How Neuroimaging Studies Have Challenged Us to Rethink: Is Chronic Pain a Disease? https://www.ncbi.nlm.nih.gov/pmc/articles/PMC4058737/ (2009)</w:t>
      </w:r>
    </w:p>
    <w:p>
      <w:pPr>
        <w:pStyle w:val="Compact"/>
        <w:numPr>
          <w:ilvl w:val="0"/>
          <w:numId w:val="1004"/>
        </w:numPr>
      </w:pPr>
      <w:r>
        <w:t xml:space="preserve">Woolf CJ. Central sensitization: Implications for the diagnosis and treatment of pain. https://pubmed.ncbi.nlm.nih.gov/15262125/ (2011)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2026-03-08T00:05:19Z</dcterms:created>
  <dcterms:modified xsi:type="dcterms:W3CDTF">2026-03-08T00:05:19Z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