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368"/>
      </w:tblGrid>
      <w:tr>
        <w:tc>
          <w:tcPr>
            <w:tcW w:type="dxa" w:w="10368"/>
            <w:shd w:fill="0B1F3A"/>
            <w:tcMar>
              <w:top w:w="190" w:type="dxa"/>
              <w:start w:w="230" w:type="dxa"/>
              <w:bottom w:w="150" w:type="dxa"/>
              <w:end w:w="230" w:type="dxa"/>
            </w:tcMar>
          </w:tcPr>
          <w:p>
            <w:pPr>
              <w:spacing w:after="60"/>
            </w:pPr>
            <w:r>
              <w:rPr>
                <w:b/>
                <w:color w:val="FFFFFF"/>
                <w:sz w:val="38"/>
              </w:rPr>
              <w:t>ACES Field Team Tracker &amp; Fault Management</w:t>
            </w:r>
          </w:p>
          <w:p>
            <w:pPr>
              <w:spacing w:after="0"/>
            </w:pPr>
            <w:r>
              <w:rPr>
                <w:color w:val="D6E7FF"/>
                <w:sz w:val="18"/>
              </w:rPr>
              <w:t>Technical handover: tools, architecture, APIs, integrations and system flow  |  Hajj 1447 · Live Field Operations · stc COW Project</w:t>
            </w:r>
          </w:p>
        </w:tc>
      </w:tr>
    </w:tbl>
    <w:p>
      <w:pPr>
        <w:spacing w:after="20"/>
      </w:pPr>
    </w:p>
    <w:p>
      <w:pPr>
        <w:spacing w:after="180"/>
        <w:jc w:val="center"/>
      </w:pPr>
      <w:r>
        <w:rPr>
          <w:b/>
          <w:color w:val="174EA6"/>
          <w:sz w:val="24"/>
        </w:rPr>
        <w:t>Document-only revision for operational and management circulation</w:t>
      </w:r>
    </w:p>
    <w:tbl>
      <w:tblPr>
        <w:tblW w:type="auto" w:w="0"/>
        <w:jc w:val="center"/>
        <w:tblLook w:firstColumn="1" w:firstRow="1" w:lastColumn="0" w:lastRow="0" w:noHBand="0" w:noVBand="1" w:val="04A0"/>
      </w:tblPr>
      <w:tblGrid>
        <w:gridCol w:w="10368"/>
      </w:tblGrid>
      <w:tr>
        <w:tc>
          <w:tcPr>
            <w:tcW w:type="dxa" w:w="10368"/>
            <w:shd w:fill="FFF4E5"/>
            <w:tcMar>
              <w:top w:w="130" w:type="dxa"/>
              <w:start w:w="180" w:type="dxa"/>
              <w:bottom w:w="130" w:type="dxa"/>
              <w:end w:w="180" w:type="dxa"/>
            </w:tcMar>
            <w:tcBorders>
              <w:top w:val="single" w:sz="4" w:color="FFF4E5"/>
              <w:bottom w:val="single" w:sz="4" w:color="FFF4E5"/>
              <w:left w:val="single" w:sz="12" w:color="D97706"/>
              <w:right w:val="single" w:sz="4" w:color="FFF4E5"/>
            </w:tcBorders>
          </w:tcPr>
          <w:p>
            <w:pPr>
              <w:spacing w:after="60"/>
            </w:pPr>
            <w:r>
              <w:rPr>
                <w:b/>
                <w:color w:val="D97706"/>
                <w:sz w:val="19"/>
              </w:rPr>
              <w:t>Scope note</w:t>
            </w:r>
          </w:p>
          <w:p>
            <w:pPr>
              <w:spacing w:after="0"/>
            </w:pPr>
            <w:r>
              <w:rPr>
                <w:color w:val="172033"/>
                <w:sz w:val="18"/>
              </w:rPr>
              <w:t>This version updates the handover document only. The four application artifacts were not refactored or renamed. Source-code listings, implementation-language inventory and developer package details are intentionally omitted; the separate technical record remains the authoritative engineering reference.</w:t>
            </w:r>
          </w:p>
        </w:tc>
      </w:tr>
    </w:tbl>
    <w:p>
      <w:pPr>
        <w:spacing w:after="20"/>
      </w:pPr>
    </w:p>
    <w:p>
      <w:pPr>
        <w:pStyle w:val="Heading1"/>
        <w:keepNext/>
      </w:pPr>
      <w:r>
        <w:rPr>
          <w:color w:val="0B1F3A"/>
        </w:rPr>
        <w:t>1. Executive Summary</w:t>
      </w:r>
    </w:p>
    <w:p>
      <w:pPr>
        <w:spacing w:after="100" w:line="252" w:lineRule="auto"/>
      </w:pPr>
      <w:r>
        <w:rPr>
          <w:color w:val="172033"/>
          <w:sz w:val="19"/>
        </w:rPr>
        <w:t>The ACES platform is a real-time field-operations system for Hajj COW deployment. It connects field technicians, managers, control-room operators, site-risk data, trouble tickets, GPS tracking, dispatch, route calculation, notifications and operational reporting through a central application service and shared operational data store.</w:t>
      </w:r>
    </w:p>
    <w:p>
      <w:pPr>
        <w:spacing w:after="100" w:line="252" w:lineRule="auto"/>
      </w:pPr>
      <w:r>
        <w:rPr>
          <w:color w:val="172033"/>
          <w:sz w:val="19"/>
        </w:rPr>
        <w:t>The Field Team Tracker is the mobile execution layer. Technicians use it to sign in, go on duty, share location, receive assignments, acknowledge tasks and respond to live faults. Managers use it to view team coverage, manage users and communicate with the field team.</w:t>
      </w:r>
    </w:p>
    <w:p>
      <w:pPr>
        <w:spacing w:after="100" w:line="252" w:lineRule="auto"/>
      </w:pPr>
      <w:r>
        <w:rPr>
          <w:color w:val="172033"/>
          <w:sz w:val="19"/>
        </w:rPr>
        <w:t>The Hajj dashboard is the control-room layer. It combines COW/site risk analysis with live team coverage and fault management so operators can assign technicians, follow movement and breadcrumbs, monitor ETA/SLA state and progress faults through resolution.</w:t>
      </w:r>
    </w:p>
    <w:p>
      <w:pPr>
        <w:pStyle w:val="Heading1"/>
        <w:keepNext/>
      </w:pPr>
      <w:r>
        <w:rPr>
          <w:color w:val="0B1F3A"/>
        </w:rPr>
        <w:t>2. Tools and Platform Components</w:t>
      </w:r>
    </w:p>
    <w:tbl>
      <w:tblPr>
        <w:tblW w:type="auto" w:w="0"/>
        <w:jc w:val="center"/>
        <w:tblLook w:firstColumn="1" w:firstRow="1" w:lastColumn="0" w:lastRow="0" w:noHBand="0" w:noVBand="1" w:val="04A0"/>
      </w:tblPr>
      <w:tblGrid>
        <w:gridCol w:w="5184"/>
        <w:gridCol w:w="5184"/>
      </w:tblGrid>
      <w:tr>
        <w:tc>
          <w:tcPr>
            <w:tcW w:type="dxa" w:w="5184"/>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Component</w:t>
            </w:r>
          </w:p>
        </w:tc>
        <w:tc>
          <w:tcPr>
            <w:tcW w:type="dxa" w:w="5184"/>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Operational purpose</w:t>
            </w:r>
          </w:p>
        </w:tc>
      </w:tr>
      <w:tr>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Field mobile application</w:t>
            </w:r>
          </w:p>
        </w:tc>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Technician duty, assignment, GPS, acknowledgement, fault response and manager communication.</w:t>
            </w:r>
          </w:p>
        </w:tc>
      </w:tr>
      <w:tr>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Operations dashboard</w:t>
            </w:r>
          </w:p>
        </w:tc>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Live team coverage, COW/site risk analysis, fault workbench, maps, routes, ETA, SLA and status controls.</w:t>
            </w:r>
          </w:p>
        </w:tc>
      </w:tr>
      <w:tr>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Central API service</w:t>
            </w:r>
          </w:p>
        </w:tc>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Authentication, authorization, fault synchronization, dispatch, location updates, routing, notifications and operational endpoints.</w:t>
            </w:r>
          </w:p>
        </w:tc>
      </w:tr>
      <w:tr>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PostgreSQL operational database</w:t>
            </w:r>
          </w:p>
        </w:tc>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Users, faults, assignments, current locations, tracking points, status history and supporting records.</w:t>
            </w:r>
          </w:p>
        </w:tc>
      </w:tr>
      <w:tr>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Power BI integration</w:t>
            </w:r>
          </w:p>
        </w:tc>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Retrieves open Hajj power and telecom trouble-ticket data for operational intake.</w:t>
            </w:r>
          </w:p>
        </w:tc>
      </w:tr>
      <w:tr>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Google Maps integration</w:t>
            </w:r>
          </w:p>
        </w:tc>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Displays geographic data and provides driving route, distance and ETA information.</w:t>
            </w:r>
          </w:p>
        </w:tc>
      </w:tr>
      <w:tr>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WebSocket and HTTP transport</w:t>
            </w:r>
          </w:p>
        </w:tc>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Delivers live location snapshots and updates, with HTTP behavior available for resilience.</w:t>
            </w:r>
          </w:p>
        </w:tc>
      </w:tr>
      <w:tr>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Push-notification services</w:t>
            </w:r>
          </w:p>
        </w:tc>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Alerts technicians about assignments and important operational messages.</w:t>
            </w:r>
          </w:p>
        </w:tc>
      </w:tr>
    </w:tbl>
    <w:p>
      <w:pPr>
        <w:spacing w:after="40"/>
      </w:pPr>
    </w:p>
    <w:tbl>
      <w:tblPr>
        <w:tblW w:type="auto" w:w="0"/>
        <w:jc w:val="center"/>
        <w:tblLook w:firstColumn="1" w:firstRow="1" w:lastColumn="0" w:lastRow="0" w:noHBand="0" w:noVBand="1" w:val="04A0"/>
      </w:tblPr>
      <w:tblGrid>
        <w:gridCol w:w="10368"/>
      </w:tblGrid>
      <w:tr>
        <w:tc>
          <w:tcPr>
            <w:tcW w:type="dxa" w:w="10368"/>
            <w:shd w:fill="EAF2FF"/>
            <w:tcMar>
              <w:top w:w="130" w:type="dxa"/>
              <w:start w:w="180" w:type="dxa"/>
              <w:bottom w:w="130" w:type="dxa"/>
              <w:end w:w="180" w:type="dxa"/>
            </w:tcMar>
            <w:tcBorders>
              <w:top w:val="single" w:sz="4" w:color="EAF2FF"/>
              <w:bottom w:val="single" w:sz="4" w:color="EAF2FF"/>
              <w:left w:val="single" w:sz="12" w:color="174EA6"/>
              <w:right w:val="single" w:sz="4" w:color="EAF2FF"/>
            </w:tcBorders>
          </w:tcPr>
          <w:p>
            <w:pPr>
              <w:spacing w:after="60"/>
            </w:pPr>
            <w:r>
              <w:rPr>
                <w:b/>
                <w:color w:val="174EA6"/>
                <w:sz w:val="19"/>
              </w:rPr>
              <w:t>Implementation-language note</w:t>
            </w:r>
          </w:p>
          <w:p>
            <w:pPr>
              <w:spacing w:after="0"/>
            </w:pPr>
            <w:r>
              <w:rPr>
                <w:color w:val="172033"/>
                <w:sz w:val="18"/>
              </w:rPr>
              <w:t>This document-only edition does not make a claim about changing the application source language. It describes the running product by capability and operational boundary rather than by file extension or compiler toolchain.</w:t>
            </w:r>
          </w:p>
        </w:tc>
      </w:tr>
    </w:tbl>
    <w:p>
      <w:pPr>
        <w:spacing w:after="20"/>
      </w:pPr>
    </w:p>
    <w:p>
      <w:pPr>
        <w:pStyle w:val="Heading1"/>
        <w:keepNext/>
      </w:pPr>
      <w:r>
        <w:rPr>
          <w:color w:val="0B1F3A"/>
        </w:rPr>
        <w:t>3. High-Level Architecture</w:t>
      </w:r>
    </w:p>
    <w:p>
      <w:pPr>
        <w:spacing w:after="100" w:line="252" w:lineRule="auto"/>
      </w:pPr>
      <w:r>
        <w:rPr>
          <w:color w:val="172033"/>
          <w:sz w:val="19"/>
        </w:rPr>
        <w:t>The central API service is the integration boundary between the mobile app, dashboard, database and external services. It authenticates users, validates requests, normalizes inbound fault records, coordinates dispatch, persists operational state, publishes live updates and exposes routes for operational workflows.</w:t>
      </w:r>
    </w:p>
    <w:tbl>
      <w:tblPr>
        <w:tblW w:type="auto" w:w="0"/>
        <w:jc w:val="center"/>
        <w:tblLook w:firstColumn="1" w:firstRow="1" w:lastColumn="0" w:lastRow="0" w:noHBand="0" w:noVBand="1" w:val="04A0"/>
      </w:tblPr>
      <w:tblGrid>
        <w:gridCol w:w="3456"/>
        <w:gridCol w:w="3456"/>
        <w:gridCol w:w="3456"/>
      </w:tblGrid>
      <w:tr>
        <w:tc>
          <w:tcPr>
            <w:tcW w:type="dxa" w:w="3456"/>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Layer</w:t>
            </w:r>
          </w:p>
        </w:tc>
        <w:tc>
          <w:tcPr>
            <w:tcW w:type="dxa" w:w="3456"/>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Responsibilities</w:t>
            </w:r>
          </w:p>
        </w:tc>
        <w:tc>
          <w:tcPr>
            <w:tcW w:type="dxa" w:w="3456"/>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Primary data</w:t>
            </w:r>
          </w:p>
        </w:tc>
      </w:tr>
      <w:tr>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Operations surfaces</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Mobile and browser experiences for field and control-room work.</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Tasks, maps, statuses, messages, alerts</w:t>
            </w:r>
          </w:p>
        </w:tc>
      </w:tr>
      <w:tr>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Application services</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Identity, team operations, fault lifecycle, dispatch, route and notification coordination.</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Users, assignments, fault state, location state</w:t>
            </w:r>
          </w:p>
        </w:tc>
      </w:tr>
      <w:tr>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Integration services</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Power BI intake, mapping/routing, live transport and push notifications.</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Tickets, coordinates, routes, events, notifications</w:t>
            </w:r>
          </w:p>
        </w:tc>
      </w:tr>
      <w:tr>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Persistence</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Durable operational record and response history.</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Faults, locations, assignments, breadcrumbs, timestamps</w:t>
            </w:r>
          </w:p>
        </w:tc>
      </w:tr>
    </w:tbl>
    <w:p>
      <w:pPr>
        <w:spacing w:after="40"/>
      </w:pPr>
    </w:p>
    <w:p>
      <w:pPr>
        <w:pStyle w:val="Heading1"/>
        <w:keepNext/>
      </w:pPr>
      <w:r>
        <w:rPr>
          <w:color w:val="0B1F3A"/>
        </w:rPr>
        <w:t>4. End-to-End System Flow</w:t>
      </w:r>
    </w:p>
    <w:p>
      <w:pPr>
        <w:pStyle w:val="ListNumber"/>
        <w:spacing w:after="40"/>
        <w:ind w:left="288"/>
      </w:pPr>
      <w:r>
        <w:rPr>
          <w:color w:val="172033"/>
          <w:sz w:val="18"/>
        </w:rPr>
        <w:t>Power BI supplies open Hajj power and telecom trouble tickets.</w:t>
      </w:r>
    </w:p>
    <w:p>
      <w:pPr>
        <w:pStyle w:val="ListNumber"/>
        <w:spacing w:after="40"/>
        <w:ind w:left="288"/>
      </w:pPr>
      <w:r>
        <w:rPr>
          <w:color w:val="172033"/>
          <w:sz w:val="18"/>
        </w:rPr>
        <w:t>The central service normalizes ticket data and matches COW IDs to site coordinates.</w:t>
      </w:r>
    </w:p>
    <w:p>
      <w:pPr>
        <w:pStyle w:val="ListNumber"/>
        <w:spacing w:after="40"/>
        <w:ind w:left="288"/>
      </w:pPr>
      <w:r>
        <w:rPr>
          <w:color w:val="172033"/>
          <w:sz w:val="18"/>
        </w:rPr>
        <w:t>The control room reviews the fault and dispatches a technician.</w:t>
      </w:r>
    </w:p>
    <w:p>
      <w:pPr>
        <w:pStyle w:val="ListNumber"/>
        <w:spacing w:after="40"/>
        <w:ind w:left="288"/>
      </w:pPr>
      <w:r>
        <w:rPr>
          <w:color w:val="172033"/>
          <w:sz w:val="18"/>
        </w:rPr>
        <w:t>The technician receives a task and push notification, then acknowledges the assignment.</w:t>
      </w:r>
    </w:p>
    <w:p>
      <w:pPr>
        <w:pStyle w:val="ListNumber"/>
        <w:spacing w:after="40"/>
        <w:ind w:left="288"/>
      </w:pPr>
      <w:r>
        <w:rPr>
          <w:color w:val="172033"/>
          <w:sz w:val="18"/>
        </w:rPr>
        <w:t>GPS and live heartbeats update the technician position while responding.</w:t>
      </w:r>
    </w:p>
    <w:p>
      <w:pPr>
        <w:pStyle w:val="ListNumber"/>
        <w:spacing w:after="40"/>
        <w:ind w:left="288"/>
      </w:pPr>
      <w:r>
        <w:rPr>
          <w:color w:val="172033"/>
          <w:sz w:val="18"/>
        </w:rPr>
        <w:t>Movement and geofence logic support en-route and on-site transitions; the dashboard displays route, ETA, SLA and breadcrumbs.</w:t>
      </w:r>
    </w:p>
    <w:p>
      <w:pPr>
        <w:pStyle w:val="ListNumber"/>
        <w:spacing w:after="40"/>
        <w:ind w:left="288"/>
      </w:pPr>
      <w:r>
        <w:rPr>
          <w:color w:val="172033"/>
          <w:sz w:val="18"/>
        </w:rPr>
        <w:t>The operator or field team resolves and closes the fault.</w:t>
      </w:r>
    </w:p>
    <w:tbl>
      <w:tblPr>
        <w:tblW w:type="auto" w:w="0"/>
        <w:jc w:val="center"/>
        <w:tblLook w:firstColumn="1" w:firstRow="1" w:lastColumn="0" w:lastRow="0" w:noHBand="0" w:noVBand="1" w:val="04A0"/>
      </w:tblPr>
      <w:tblGrid>
        <w:gridCol w:w="10368"/>
      </w:tblGrid>
      <w:tr>
        <w:tc>
          <w:tcPr>
            <w:tcW w:type="dxa" w:w="10368"/>
            <w:shd w:fill="E8F7F5"/>
            <w:tcMar>
              <w:top w:w="130" w:type="dxa"/>
              <w:start w:w="180" w:type="dxa"/>
              <w:bottom w:w="130" w:type="dxa"/>
              <w:end w:w="180" w:type="dxa"/>
            </w:tcMar>
            <w:tcBorders>
              <w:top w:val="single" w:sz="4" w:color="E8F7F5"/>
              <w:bottom w:val="single" w:sz="4" w:color="E8F7F5"/>
              <w:left w:val="single" w:sz="12" w:color="087F8C"/>
              <w:right w:val="single" w:sz="4" w:color="E8F7F5"/>
            </w:tcBorders>
          </w:tcPr>
          <w:p>
            <w:pPr>
              <w:spacing w:after="60"/>
            </w:pPr>
            <w:r>
              <w:rPr>
                <w:b/>
                <w:color w:val="087F8C"/>
                <w:sz w:val="19"/>
              </w:rPr>
              <w:t>Operational loop</w:t>
            </w:r>
          </w:p>
          <w:p>
            <w:pPr>
              <w:spacing w:after="0"/>
            </w:pPr>
            <w:r>
              <w:rPr>
                <w:color w:val="172033"/>
                <w:sz w:val="18"/>
              </w:rPr>
              <w:t>Ingest → normalize → dispatch → acknowledge → track → verify arrival → resolve → close</w:t>
            </w:r>
          </w:p>
        </w:tc>
      </w:tr>
    </w:tbl>
    <w:p>
      <w:pPr>
        <w:spacing w:after="20"/>
      </w:pPr>
    </w:p>
    <w:p>
      <w:pPr>
        <w:pStyle w:val="Heading1"/>
        <w:keepNext/>
      </w:pPr>
      <w:r>
        <w:rPr>
          <w:color w:val="0B1F3A"/>
        </w:rPr>
        <w:t>5. Mobile Field Team Tracker</w:t>
      </w:r>
    </w:p>
    <w:p>
      <w:pPr>
        <w:pStyle w:val="Heading2"/>
        <w:keepNext/>
      </w:pPr>
      <w:r>
        <w:rPr>
          <w:color w:val="174EA6"/>
        </w:rPr>
        <w:t>Technician workflow</w:t>
      </w:r>
    </w:p>
    <w:p>
      <w:pPr>
        <w:pStyle w:val="ListBullet"/>
        <w:spacing w:after="40"/>
        <w:ind w:left="288"/>
      </w:pPr>
      <w:r>
        <w:rPr>
          <w:color w:val="172033"/>
          <w:sz w:val="18"/>
        </w:rPr>
        <w:t>Sign in with assigned credentials and receive the appropriate role.</w:t>
      </w:r>
    </w:p>
    <w:p>
      <w:pPr>
        <w:pStyle w:val="ListBullet"/>
        <w:spacing w:after="40"/>
        <w:ind w:left="288"/>
      </w:pPr>
      <w:r>
        <w:rPr>
          <w:color w:val="172033"/>
          <w:sz w:val="18"/>
        </w:rPr>
        <w:t>Select Go On Duty and grant location permissions.</w:t>
      </w:r>
    </w:p>
    <w:p>
      <w:pPr>
        <w:pStyle w:val="ListBullet"/>
        <w:spacing w:after="40"/>
        <w:ind w:left="288"/>
      </w:pPr>
      <w:r>
        <w:rPr>
          <w:color w:val="172033"/>
          <w:sz w:val="18"/>
        </w:rPr>
        <w:t>Share duty state and current location while active.</w:t>
      </w:r>
    </w:p>
    <w:p>
      <w:pPr>
        <w:pStyle w:val="ListBullet"/>
        <w:spacing w:after="40"/>
        <w:ind w:left="288"/>
      </w:pPr>
      <w:r>
        <w:rPr>
          <w:color w:val="172033"/>
          <w:sz w:val="18"/>
        </w:rPr>
        <w:t>Receive assigned faults, acknowledge tasks and reply to managers.</w:t>
      </w:r>
    </w:p>
    <w:p>
      <w:pPr>
        <w:pStyle w:val="ListBullet"/>
        <w:spacing w:after="40"/>
        <w:ind w:left="288"/>
      </w:pPr>
      <w:r>
        <w:rPr>
          <w:color w:val="172033"/>
          <w:sz w:val="18"/>
        </w:rPr>
        <w:t>Use fault details including COW/site, severity, distance, ETA, GPS quality, movement and connection state.</w:t>
      </w:r>
    </w:p>
    <w:p>
      <w:pPr>
        <w:pStyle w:val="ListBullet"/>
        <w:spacing w:after="40"/>
        <w:ind w:left="288"/>
      </w:pPr>
      <w:r>
        <w:rPr>
          <w:color w:val="172033"/>
          <w:sz w:val="18"/>
        </w:rPr>
        <w:t>Stop tracking when on site/resolved/closed or when duty ends.</w:t>
      </w:r>
    </w:p>
    <w:p>
      <w:pPr>
        <w:pStyle w:val="Heading2"/>
        <w:keepNext/>
      </w:pPr>
      <w:r>
        <w:rPr>
          <w:color w:val="174EA6"/>
        </w:rPr>
        <w:t>Manager workflow</w:t>
      </w:r>
    </w:p>
    <w:p>
      <w:pPr>
        <w:pStyle w:val="ListBullet"/>
        <w:spacing w:after="40"/>
        <w:ind w:left="288"/>
      </w:pPr>
      <w:r>
        <w:rPr>
          <w:color w:val="172033"/>
          <w:sz w:val="18"/>
        </w:rPr>
        <w:t>View team members, areas, duty state and last update.</w:t>
      </w:r>
    </w:p>
    <w:p>
      <w:pPr>
        <w:pStyle w:val="ListBullet"/>
        <w:spacing w:after="40"/>
        <w:ind w:left="288"/>
      </w:pPr>
      <w:r>
        <w:rPr>
          <w:color w:val="172033"/>
          <w:sz w:val="18"/>
        </w:rPr>
        <w:t>Send a task to an individual technician or broadcast to the team.</w:t>
      </w:r>
    </w:p>
    <w:p>
      <w:pPr>
        <w:pStyle w:val="ListBullet"/>
        <w:spacing w:after="40"/>
        <w:ind w:left="288"/>
      </w:pPr>
      <w:r>
        <w:rPr>
          <w:color w:val="172033"/>
          <w:sz w:val="18"/>
        </w:rPr>
        <w:t>Review assignment communication and technician replies.</w:t>
      </w:r>
    </w:p>
    <w:p>
      <w:pPr>
        <w:pStyle w:val="ListBullet"/>
        <w:spacing w:after="40"/>
        <w:ind w:left="288"/>
      </w:pPr>
      <w:r>
        <w:rPr>
          <w:color w:val="172033"/>
          <w:sz w:val="18"/>
        </w:rPr>
        <w:t>Maintain manager/technician users and operating information.</w:t>
      </w:r>
    </w:p>
    <w:p>
      <w:pPr>
        <w:pStyle w:val="Heading2"/>
        <w:keepNext/>
      </w:pPr>
      <w:r>
        <w:rPr>
          <w:color w:val="174EA6"/>
        </w:rPr>
        <w:t>Location behavior</w:t>
      </w:r>
    </w:p>
    <w:p>
      <w:pPr>
        <w:spacing w:after="100" w:line="252" w:lineRule="auto"/>
      </w:pPr>
      <w:r>
        <w:rPr>
          <w:color w:val="172033"/>
          <w:sz w:val="19"/>
        </w:rPr>
        <w:t>The mobile experience supports foreground and background location activity. Location-quality filtering reduces noisy updates, while offline heartbeat handling supports controlled continuity when connectivity is intermittent. The system identifies the Hajj operating area from coordinates and uses live transport when available.</w:t>
      </w:r>
    </w:p>
    <w:p>
      <w:pPr>
        <w:pStyle w:val="Heading1"/>
        <w:keepNext/>
      </w:pPr>
      <w:r>
        <w:rPr>
          <w:color w:val="0B1F3A"/>
        </w:rPr>
        <w:t>6. Hajj Operations Dashboard</w:t>
      </w:r>
    </w:p>
    <w:p>
      <w:pPr>
        <w:pStyle w:val="ListBullet"/>
        <w:spacing w:after="40"/>
        <w:ind w:left="288"/>
      </w:pPr>
      <w:r>
        <w:rPr>
          <w:color w:val="172033"/>
          <w:sz w:val="18"/>
        </w:rPr>
        <w:t>Live team coverage with ACES/MSD branding and last-update state.</w:t>
      </w:r>
    </w:p>
    <w:p>
      <w:pPr>
        <w:pStyle w:val="ListBullet"/>
        <w:spacing w:after="40"/>
        <w:ind w:left="288"/>
      </w:pPr>
      <w:r>
        <w:rPr>
          <w:color w:val="172033"/>
          <w:sz w:val="18"/>
        </w:rPr>
        <w:t>Fault list and map with severity, status, dispatch, route, movement and SLA indicators.</w:t>
      </w:r>
    </w:p>
    <w:p>
      <w:pPr>
        <w:pStyle w:val="ListBullet"/>
        <w:spacing w:after="40"/>
        <w:ind w:left="288"/>
      </w:pPr>
      <w:r>
        <w:rPr>
          <w:color w:val="172033"/>
          <w:sz w:val="18"/>
        </w:rPr>
        <w:t>COW/site risk views with safe, backup-risk and outage-risk presentation.</w:t>
      </w:r>
    </w:p>
    <w:p>
      <w:pPr>
        <w:pStyle w:val="ListBullet"/>
        <w:spacing w:after="40"/>
        <w:ind w:left="288"/>
      </w:pPr>
      <w:r>
        <w:rPr>
          <w:color w:val="172033"/>
          <w:sz w:val="18"/>
        </w:rPr>
        <w:t>Team roster and technician markers for coverage decisions.</w:t>
      </w:r>
    </w:p>
    <w:p>
      <w:pPr>
        <w:pStyle w:val="ListBullet"/>
        <w:spacing w:after="40"/>
        <w:ind w:left="288"/>
      </w:pPr>
      <w:r>
        <w:rPr>
          <w:color w:val="172033"/>
          <w:sz w:val="18"/>
        </w:rPr>
        <w:t>Breadcrumb trail, route polyline, ETA and response-state display.</w:t>
      </w:r>
    </w:p>
    <w:p>
      <w:pPr>
        <w:pStyle w:val="ListBullet"/>
        <w:spacing w:after="40"/>
        <w:ind w:left="288"/>
      </w:pPr>
      <w:r>
        <w:rPr>
          <w:color w:val="172033"/>
          <w:sz w:val="18"/>
        </w:rPr>
        <w:t>Control-room actions for dispatch, status updates, notifications and resolution.</w:t>
      </w:r>
    </w:p>
    <w:p>
      <w:pPr>
        <w:pStyle w:val="Heading1"/>
        <w:keepNext/>
      </w:pPr>
      <w:r>
        <w:rPr>
          <w:color w:val="0B1F3A"/>
        </w:rPr>
        <w:t>7. Fault Management Lifecycle</w:t>
      </w:r>
    </w:p>
    <w:tbl>
      <w:tblPr>
        <w:tblW w:type="auto" w:w="0"/>
        <w:jc w:val="center"/>
        <w:tblLook w:firstColumn="1" w:firstRow="1" w:lastColumn="0" w:lastRow="0" w:noHBand="0" w:noVBand="1" w:val="04A0"/>
      </w:tblPr>
      <w:tblGrid>
        <w:gridCol w:w="3456"/>
        <w:gridCol w:w="3456"/>
        <w:gridCol w:w="3456"/>
      </w:tblGrid>
      <w:tr>
        <w:tc>
          <w:tcPr>
            <w:tcW w:type="dxa" w:w="3456"/>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Stage</w:t>
            </w:r>
          </w:p>
        </w:tc>
        <w:tc>
          <w:tcPr>
            <w:tcW w:type="dxa" w:w="3456"/>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System behavior</w:t>
            </w:r>
          </w:p>
        </w:tc>
        <w:tc>
          <w:tcPr>
            <w:tcW w:type="dxa" w:w="3456"/>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Operator outcome</w:t>
            </w:r>
          </w:p>
        </w:tc>
      </w:tr>
      <w:tr>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New / received</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Active ticket is synchronized and associated with a COW/site.</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Review severity, location and age.</w:t>
            </w:r>
          </w:p>
        </w:tc>
      </w:tr>
      <w:tr>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Assigned</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Technician is selected and notified.</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Confirm ownership and response responsibility.</w:t>
            </w:r>
          </w:p>
        </w:tc>
      </w:tr>
      <w:tr>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Acknowledged</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Technician confirms receipt.</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Know that the task reached the field team.</w:t>
            </w:r>
          </w:p>
        </w:tc>
      </w:tr>
      <w:tr>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En route</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Movement is detected and tracking is active.</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Monitor route, ETA, SLA and progress.</w:t>
            </w:r>
          </w:p>
        </w:tc>
      </w:tr>
      <w:tr>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On site</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Arrival is detected within the configured boundary.</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Verify field presence at the site.</w:t>
            </w:r>
          </w:p>
        </w:tc>
      </w:tr>
      <w:tr>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Resolved / closed</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Response is completed and record is closed.</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Maintain a complete operational history.</w:t>
            </w:r>
          </w:p>
        </w:tc>
      </w:tr>
    </w:tbl>
    <w:p>
      <w:pPr>
        <w:spacing w:after="40"/>
      </w:pPr>
    </w:p>
    <w:p>
      <w:pPr>
        <w:pStyle w:val="Heading1"/>
        <w:keepNext/>
      </w:pPr>
      <w:r>
        <w:rPr>
          <w:color w:val="0B1F3A"/>
        </w:rPr>
        <w:t>8. APIs and Operational Endpoints</w:t>
      </w:r>
    </w:p>
    <w:p>
      <w:pPr>
        <w:spacing w:after="100" w:line="252" w:lineRule="auto"/>
      </w:pPr>
      <w:r>
        <w:rPr>
          <w:color w:val="172033"/>
          <w:sz w:val="19"/>
        </w:rPr>
        <w:t>The API is organized around health, team operations and fault management. The mobile app and dashboard use the same central boundary so authentication, role checks, validation and state changes are applied consistently.</w:t>
      </w:r>
    </w:p>
    <w:tbl>
      <w:tblPr>
        <w:tblW w:type="auto" w:w="0"/>
        <w:jc w:val="center"/>
        <w:tblLook w:firstColumn="1" w:firstRow="1" w:lastColumn="0" w:lastRow="0" w:noHBand="0" w:noVBand="1" w:val="04A0"/>
      </w:tblPr>
      <w:tblGrid>
        <w:gridCol w:w="5184"/>
        <w:gridCol w:w="5184"/>
      </w:tblGrid>
      <w:tr>
        <w:tc>
          <w:tcPr>
            <w:tcW w:type="dxa" w:w="5184"/>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API area</w:t>
            </w:r>
          </w:p>
        </w:tc>
        <w:tc>
          <w:tcPr>
            <w:tcW w:type="dxa" w:w="5184"/>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Representative capabilities</w:t>
            </w:r>
          </w:p>
        </w:tc>
      </w:tr>
      <w:tr>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Health</w:t>
            </w:r>
          </w:p>
        </w:tc>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Service readiness and health verification.</w:t>
            </w:r>
          </w:p>
        </w:tc>
      </w:tr>
      <w:tr>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Authentication and team</w:t>
            </w:r>
          </w:p>
        </w:tc>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Login, current user, users, team coverage and role-protected management.</w:t>
            </w:r>
          </w:p>
        </w:tc>
      </w:tr>
      <w:tr>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Locations</w:t>
            </w:r>
          </w:p>
        </w:tc>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Current technician location, live snapshots, location updates and tracking state.</w:t>
            </w:r>
          </w:p>
        </w:tc>
      </w:tr>
      <w:tr>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Assignments and messaging</w:t>
            </w:r>
          </w:p>
        </w:tc>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Dispatch, acknowledgement, technician replies, broadcast communication and assignment history.</w:t>
            </w:r>
          </w:p>
        </w:tc>
      </w:tr>
      <w:tr>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Faults</w:t>
            </w:r>
          </w:p>
        </w:tc>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List active faults, synchronize source data, dispatch, update status, retrieve routes and view breadcrumbs.</w:t>
            </w:r>
          </w:p>
        </w:tc>
      </w:tr>
      <w:tr>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Notifications</w:t>
            </w:r>
          </w:p>
        </w:tc>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Push-token registration and operational task notifications.</w:t>
            </w:r>
          </w:p>
        </w:tc>
      </w:tr>
    </w:tbl>
    <w:p>
      <w:pPr>
        <w:spacing w:after="40"/>
      </w:pPr>
    </w:p>
    <w:p>
      <w:pPr>
        <w:pStyle w:val="Heading1"/>
        <w:keepNext/>
      </w:pPr>
      <w:r>
        <w:rPr>
          <w:color w:val="0B1F3A"/>
        </w:rPr>
        <w:t>9. Integrations</w:t>
      </w:r>
    </w:p>
    <w:tbl>
      <w:tblPr>
        <w:tblW w:type="auto" w:w="0"/>
        <w:jc w:val="center"/>
        <w:tblLook w:firstColumn="1" w:firstRow="1" w:lastColumn="0" w:lastRow="0" w:noHBand="0" w:noVBand="1" w:val="04A0"/>
      </w:tblPr>
      <w:tblGrid>
        <w:gridCol w:w="3456"/>
        <w:gridCol w:w="3456"/>
        <w:gridCol w:w="3456"/>
      </w:tblGrid>
      <w:tr>
        <w:tc>
          <w:tcPr>
            <w:tcW w:type="dxa" w:w="3456"/>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Integration</w:t>
            </w:r>
          </w:p>
        </w:tc>
        <w:tc>
          <w:tcPr>
            <w:tcW w:type="dxa" w:w="3456"/>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How it is used</w:t>
            </w:r>
          </w:p>
        </w:tc>
        <w:tc>
          <w:tcPr>
            <w:tcW w:type="dxa" w:w="3456"/>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Operational dependency</w:t>
            </w:r>
          </w:p>
        </w:tc>
      </w:tr>
      <w:tr>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Power BI</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Queries source tables for open Hajj tickets, filters the operating region and excludes closed records.</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Approved reporting access and available upstream data.</w:t>
            </w:r>
          </w:p>
        </w:tc>
      </w:tr>
      <w:tr>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Google Maps</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Provides map visualization and driving directions with distance and duration.</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Approved key, enabled services and network access.</w:t>
            </w:r>
          </w:p>
        </w:tc>
      </w:tr>
      <w:tr>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WebSocket live transport</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Publishes location snapshots and subsequent location events to subscribed operations views.</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Authenticated connection and network availability.</w:t>
            </w:r>
          </w:p>
        </w:tc>
      </w:tr>
      <w:tr>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Push notifications</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Sends high-priority assignments and messages to registered devices.</w:t>
            </w:r>
          </w:p>
        </w:tc>
        <w:tc>
          <w:tcPr>
            <w:tcW w:type="dxa" w:w="3456"/>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Valid device tokens and provider configuration.</w:t>
            </w:r>
          </w:p>
        </w:tc>
      </w:tr>
      <w:tr>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PostgreSQL</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Persists users, faults, locations, assignments and tracking history.</w:t>
            </w:r>
          </w:p>
        </w:tc>
        <w:tc>
          <w:tcPr>
            <w:tcW w:type="dxa" w:w="3456"/>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Protected database connection and schema availability.</w:t>
            </w:r>
          </w:p>
        </w:tc>
      </w:tr>
    </w:tbl>
    <w:p>
      <w:pPr>
        <w:spacing w:after="40"/>
      </w:pPr>
    </w:p>
    <w:p>
      <w:pPr>
        <w:pStyle w:val="Heading1"/>
        <w:keepNext/>
      </w:pPr>
      <w:r>
        <w:rPr>
          <w:color w:val="0B1F3A"/>
        </w:rPr>
        <w:t>10. GPS, Geofence and Breadcrumb Controls</w:t>
      </w:r>
    </w:p>
    <w:p>
      <w:pPr>
        <w:pStyle w:val="ListBullet"/>
        <w:spacing w:after="40"/>
        <w:ind w:left="288"/>
      </w:pPr>
      <w:r>
        <w:rPr>
          <w:color w:val="172033"/>
          <w:sz w:val="18"/>
        </w:rPr>
        <w:t>Location updates are quality-filtered to reduce inaccurate or noisy positions.</w:t>
      </w:r>
    </w:p>
    <w:p>
      <w:pPr>
        <w:pStyle w:val="ListBullet"/>
        <w:spacing w:after="40"/>
        <w:ind w:left="288"/>
      </w:pPr>
      <w:r>
        <w:rPr>
          <w:color w:val="172033"/>
          <w:sz w:val="18"/>
        </w:rPr>
        <w:t>High-accuracy tracking is used during active fault response where permitted by the device.</w:t>
      </w:r>
    </w:p>
    <w:p>
      <w:pPr>
        <w:pStyle w:val="ListBullet"/>
        <w:spacing w:after="40"/>
        <w:ind w:left="288"/>
      </w:pPr>
      <w:r>
        <w:rPr>
          <w:color w:val="172033"/>
          <w:sz w:val="18"/>
        </w:rPr>
        <w:t>Movement is recognized using configured distance/speed behavior.</w:t>
      </w:r>
    </w:p>
    <w:p>
      <w:pPr>
        <w:pStyle w:val="ListBullet"/>
        <w:spacing w:after="40"/>
        <w:ind w:left="288"/>
      </w:pPr>
      <w:r>
        <w:rPr>
          <w:color w:val="172033"/>
          <w:sz w:val="18"/>
        </w:rPr>
        <w:t>An arrival boundary supports the en-route to on-site transition.</w:t>
      </w:r>
    </w:p>
    <w:p>
      <w:pPr>
        <w:pStyle w:val="ListBullet"/>
        <w:spacing w:after="40"/>
        <w:ind w:left="288"/>
      </w:pPr>
      <w:r>
        <w:rPr>
          <w:color w:val="172033"/>
          <w:sz w:val="18"/>
        </w:rPr>
        <w:t>Breadcrumbs preserve the response trail for the active operational window.</w:t>
      </w:r>
    </w:p>
    <w:p>
      <w:pPr>
        <w:pStyle w:val="ListBullet"/>
        <w:spacing w:after="40"/>
        <w:ind w:left="288"/>
      </w:pPr>
      <w:r>
        <w:rPr>
          <w:color w:val="172033"/>
          <w:sz w:val="18"/>
        </w:rPr>
        <w:t>Route and ETA information supplements, but does not replace, operator judgement and field confirmation.</w:t>
      </w:r>
    </w:p>
    <w:p>
      <w:pPr>
        <w:pStyle w:val="Heading1"/>
        <w:keepNext/>
      </w:pPr>
      <w:r>
        <w:rPr>
          <w:color w:val="0B1F3A"/>
        </w:rPr>
        <w:t>11. Data and Security Controls</w:t>
      </w:r>
    </w:p>
    <w:p>
      <w:pPr>
        <w:pStyle w:val="ListBullet"/>
        <w:spacing w:after="40"/>
        <w:ind w:left="288"/>
      </w:pPr>
      <w:r>
        <w:rPr>
          <w:color w:val="172033"/>
          <w:sz w:val="18"/>
        </w:rPr>
        <w:t>Role-based access separates technician, manager and control-room capabilities.</w:t>
      </w:r>
    </w:p>
    <w:p>
      <w:pPr>
        <w:pStyle w:val="ListBullet"/>
        <w:spacing w:after="40"/>
        <w:ind w:left="288"/>
      </w:pPr>
      <w:r>
        <w:rPr>
          <w:color w:val="172033"/>
          <w:sz w:val="18"/>
        </w:rPr>
        <w:t>Credentials, service keys and private configuration remain in protected environment storage and are excluded from this document.</w:t>
      </w:r>
    </w:p>
    <w:p>
      <w:pPr>
        <w:pStyle w:val="ListBullet"/>
        <w:spacing w:after="40"/>
        <w:ind w:left="288"/>
      </w:pPr>
      <w:r>
        <w:rPr>
          <w:color w:val="172033"/>
          <w:sz w:val="18"/>
        </w:rPr>
        <w:t>The operational database is the source of truth for current users, faults, assignments and response records.</w:t>
      </w:r>
    </w:p>
    <w:p>
      <w:pPr>
        <w:pStyle w:val="ListBullet"/>
        <w:spacing w:after="40"/>
        <w:ind w:left="288"/>
      </w:pPr>
      <w:r>
        <w:rPr>
          <w:color w:val="172033"/>
          <w:sz w:val="18"/>
        </w:rPr>
        <w:t>Active-ticket uniqueness controls help prevent duplicate open records for the same ticket reference.</w:t>
      </w:r>
    </w:p>
    <w:p>
      <w:pPr>
        <w:pStyle w:val="ListBullet"/>
        <w:spacing w:after="40"/>
        <w:ind w:left="288"/>
      </w:pPr>
      <w:r>
        <w:rPr>
          <w:color w:val="172033"/>
          <w:sz w:val="18"/>
        </w:rPr>
        <w:t>Assignment, status, timestamp and location history support accountability and after-action review.</w:t>
      </w:r>
    </w:p>
    <w:p>
      <w:pPr>
        <w:pStyle w:val="ListBullet"/>
        <w:spacing w:after="40"/>
        <w:ind w:left="288"/>
      </w:pPr>
      <w:r>
        <w:rPr>
          <w:color w:val="172033"/>
          <w:sz w:val="18"/>
        </w:rPr>
        <w:t>Any display fallback is treated as a presentation aid, not as a substitute for authoritative live data.</w:t>
      </w:r>
    </w:p>
    <w:p>
      <w:pPr>
        <w:pStyle w:val="Heading1"/>
        <w:keepNext/>
      </w:pPr>
      <w:r>
        <w:rPr>
          <w:color w:val="0B1F3A"/>
        </w:rPr>
        <w:t>12. Verification Checklist</w:t>
      </w:r>
    </w:p>
    <w:tbl>
      <w:tblPr>
        <w:tblW w:type="auto" w:w="0"/>
        <w:jc w:val="center"/>
        <w:tblLook w:firstColumn="1" w:firstRow="1" w:lastColumn="0" w:lastRow="0" w:noHBand="0" w:noVBand="1" w:val="04A0"/>
      </w:tblPr>
      <w:tblGrid>
        <w:gridCol w:w="5184"/>
        <w:gridCol w:w="5184"/>
      </w:tblGrid>
      <w:tr>
        <w:tc>
          <w:tcPr>
            <w:tcW w:type="dxa" w:w="5184"/>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Verification</w:t>
            </w:r>
          </w:p>
        </w:tc>
        <w:tc>
          <w:tcPr>
            <w:tcW w:type="dxa" w:w="5184"/>
            <w:shd w:fill="174EA6"/>
            <w:tcMar>
              <w:top w:w="100" w:type="dxa"/>
              <w:start w:w="140" w:type="dxa"/>
              <w:bottom w:w="100" w:type="dxa"/>
              <w:end w:w="140" w:type="dxa"/>
            </w:tcMar>
            <w:tcBorders>
              <w:top w:val="single" w:sz="4" w:color="174EA6"/>
              <w:bottom w:val="single" w:sz="4" w:color="174EA6"/>
              <w:left w:val="single" w:sz="12" w:color="174EA6"/>
              <w:right w:val="single" w:sz="4" w:color="174EA6"/>
            </w:tcBorders>
          </w:tcPr>
          <w:p>
            <w:pPr>
              <w:spacing w:after="0"/>
            </w:pPr>
            <w:r>
              <w:rPr>
                <w:b/>
                <w:color w:val="FFFFFF"/>
                <w:sz w:val="17"/>
              </w:rPr>
              <w:t>Expected result</w:t>
            </w:r>
          </w:p>
        </w:tc>
      </w:tr>
      <w:tr>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Service health</w:t>
            </w:r>
          </w:p>
        </w:tc>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Health check responds and configured workflows are running.</w:t>
            </w:r>
          </w:p>
        </w:tc>
      </w:tr>
      <w:tr>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User access</w:t>
            </w:r>
          </w:p>
        </w:tc>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Technician and manager sign-in produces the correct role experience.</w:t>
            </w:r>
          </w:p>
        </w:tc>
      </w:tr>
      <w:tr>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Duty and GPS</w:t>
            </w:r>
          </w:p>
        </w:tc>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Going on duty requests permission and a current position becomes visible.</w:t>
            </w:r>
          </w:p>
        </w:tc>
      </w:tr>
      <w:tr>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Live map</w:t>
            </w:r>
          </w:p>
        </w:tc>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Dashboard receives an initial team snapshot and later position updates.</w:t>
            </w:r>
          </w:p>
        </w:tc>
      </w:tr>
      <w:tr>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Fault intake</w:t>
            </w:r>
          </w:p>
        </w:tc>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A synchronized or test fault appears with correct site, severity and status.</w:t>
            </w:r>
          </w:p>
        </w:tc>
      </w:tr>
      <w:tr>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Dispatch</w:t>
            </w:r>
          </w:p>
        </w:tc>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Selected technician receives the task and notification.</w:t>
            </w:r>
          </w:p>
        </w:tc>
      </w:tr>
      <w:tr>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Tracking</w:t>
            </w:r>
          </w:p>
        </w:tc>
        <w:tc>
          <w:tcPr>
            <w:tcW w:type="dxa" w:w="5184"/>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Movement, route, ETA, SLA and arrival state update as expected.</w:t>
            </w:r>
          </w:p>
        </w:tc>
      </w:tr>
      <w:tr>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Closure</w:t>
            </w:r>
          </w:p>
        </w:tc>
        <w:tc>
          <w:tcPr>
            <w:tcW w:type="dxa" w:w="5184"/>
            <w:shd w:fill="F8FAFC"/>
            <w:tcMar>
              <w:top w:w="100" w:type="dxa"/>
              <w:start w:w="140" w:type="dxa"/>
              <w:bottom w:w="100" w:type="dxa"/>
              <w:end w:w="140" w:type="dxa"/>
            </w:tcMar>
            <w:tcBorders>
              <w:top w:val="single" w:sz="4" w:color="CBD5E1"/>
              <w:bottom w:val="single" w:sz="4" w:color="CBD5E1"/>
              <w:left w:val="single" w:sz="12" w:color="174EA6"/>
              <w:right w:val="single" w:sz="4" w:color="CBD5E1"/>
            </w:tcBorders>
          </w:tcPr>
          <w:p>
            <w:pPr>
              <w:spacing w:after="0"/>
            </w:pPr>
            <w:r>
              <w:rPr>
                <w:color w:val="172033"/>
                <w:sz w:val="17"/>
              </w:rPr>
              <w:t>Resolution and closure are reflected in the operational record and dashboard.</w:t>
            </w:r>
          </w:p>
        </w:tc>
      </w:tr>
    </w:tbl>
    <w:p>
      <w:pPr>
        <w:spacing w:after="40"/>
      </w:pPr>
    </w:p>
    <w:p>
      <w:pPr>
        <w:pStyle w:val="Heading1"/>
        <w:keepNext/>
      </w:pPr>
      <w:r>
        <w:rPr>
          <w:color w:val="0B1F3A"/>
        </w:rPr>
        <w:t>13. Operating Boundaries</w:t>
      </w:r>
    </w:p>
    <w:p>
      <w:pPr>
        <w:pStyle w:val="ListBullet"/>
        <w:spacing w:after="40"/>
        <w:ind w:left="288"/>
      </w:pPr>
      <w:r>
        <w:rPr>
          <w:color w:val="172033"/>
          <w:sz w:val="18"/>
        </w:rPr>
        <w:t>Power BI visibility depends on valid upstream data and permissions.</w:t>
      </w:r>
    </w:p>
    <w:p>
      <w:pPr>
        <w:pStyle w:val="ListBullet"/>
        <w:spacing w:after="40"/>
        <w:ind w:left="288"/>
      </w:pPr>
      <w:r>
        <w:rPr>
          <w:color w:val="172033"/>
          <w:sz w:val="18"/>
        </w:rPr>
        <w:t>Mapping and route estimates depend on approved map configuration and service availability.</w:t>
      </w:r>
    </w:p>
    <w:p>
      <w:pPr>
        <w:pStyle w:val="ListBullet"/>
        <w:spacing w:after="40"/>
        <w:ind w:left="288"/>
      </w:pPr>
      <w:r>
        <w:rPr>
          <w:color w:val="172033"/>
          <w:sz w:val="18"/>
        </w:rPr>
        <w:t>Background GPS depends on device permissions, battery policy and operating-system behavior.</w:t>
      </w:r>
    </w:p>
    <w:p>
      <w:pPr>
        <w:pStyle w:val="ListBullet"/>
        <w:spacing w:after="40"/>
        <w:ind w:left="288"/>
      </w:pPr>
      <w:r>
        <w:rPr>
          <w:color w:val="172033"/>
          <w:sz w:val="18"/>
        </w:rPr>
        <w:t>Notifications depend on registered devices and notification-provider availability.</w:t>
      </w:r>
    </w:p>
    <w:p>
      <w:pPr>
        <w:pStyle w:val="ListBullet"/>
        <w:spacing w:after="40"/>
        <w:ind w:left="288"/>
      </w:pPr>
      <w:r>
        <w:rPr>
          <w:color w:val="172033"/>
          <w:sz w:val="18"/>
        </w:rPr>
        <w:t>The deployed environment should be verified before this document is used as a formal production runbook.</w:t>
      </w:r>
    </w:p>
    <w:p>
      <w:pPr>
        <w:pStyle w:val="Heading1"/>
        <w:keepNext/>
      </w:pPr>
      <w:r>
        <w:rPr>
          <w:color w:val="0B1F3A"/>
        </w:rPr>
        <w:t>14. Handover Summary</w:t>
      </w:r>
    </w:p>
    <w:p>
      <w:pPr>
        <w:spacing w:after="100" w:line="252" w:lineRule="auto"/>
      </w:pPr>
      <w:r>
        <w:rPr>
          <w:color w:val="172033"/>
          <w:sz w:val="19"/>
        </w:rPr>
        <w:t>The ACES Field Team Tracker and Fault Management platform creates a connected response path from source ticket to verified field resolution. It gives technicians a clear mobile workflow, managers a live team view and control-room operators a unified fault and risk picture.</w:t>
      </w:r>
    </w:p>
    <w:p>
      <w:pPr>
        <w:spacing w:after="100" w:line="252" w:lineRule="auto"/>
      </w:pPr>
      <w:r>
        <w:rPr>
          <w:color w:val="172033"/>
          <w:sz w:val="19"/>
        </w:rPr>
        <w:t>The central application service remains the integration boundary and authoritative coordinator for identity, fault intake, dispatch, location, routing, notification and persistence. The most important operational outcome is traceability across assignment, movement, arrival, resolution and closure.</w:t>
      </w:r>
    </w:p>
    <w:tbl>
      <w:tblPr>
        <w:tblW w:type="auto" w:w="0"/>
        <w:jc w:val="center"/>
        <w:tblLook w:firstColumn="1" w:firstRow="1" w:lastColumn="0" w:lastRow="0" w:noHBand="0" w:noVBand="1" w:val="04A0"/>
      </w:tblPr>
      <w:tblGrid>
        <w:gridCol w:w="10368"/>
      </w:tblGrid>
      <w:tr>
        <w:tc>
          <w:tcPr>
            <w:tcW w:type="dxa" w:w="10368"/>
            <w:shd w:fill="EAF2FF"/>
            <w:tcMar>
              <w:top w:w="130" w:type="dxa"/>
              <w:start w:w="180" w:type="dxa"/>
              <w:bottom w:w="130" w:type="dxa"/>
              <w:end w:w="180" w:type="dxa"/>
            </w:tcMar>
            <w:tcBorders>
              <w:top w:val="single" w:sz="4" w:color="EAF2FF"/>
              <w:bottom w:val="single" w:sz="4" w:color="EAF2FF"/>
              <w:left w:val="single" w:sz="12" w:color="174EA6"/>
              <w:right w:val="single" w:sz="4" w:color="EAF2FF"/>
            </w:tcBorders>
          </w:tcPr>
          <w:p>
            <w:pPr>
              <w:spacing w:after="60"/>
            </w:pPr>
            <w:r>
              <w:rPr>
                <w:b/>
                <w:color w:val="174EA6"/>
                <w:sz w:val="19"/>
              </w:rPr>
              <w:t>Document set</w:t>
            </w:r>
          </w:p>
          <w:p>
            <w:pPr>
              <w:spacing w:after="0"/>
            </w:pPr>
            <w:r>
              <w:rPr>
                <w:color w:val="172033"/>
                <w:sz w:val="18"/>
              </w:rPr>
              <w:t>This document-only handover is intended for operational and management circulation. The original technical handover and full-code appendix remain available for engineering, support and audit use.</w:t>
            </w:r>
          </w:p>
        </w:tc>
      </w:tr>
    </w:tbl>
    <w:p>
      <w:pPr>
        <w:spacing w:after="20"/>
      </w:pPr>
    </w:p>
    <w:sectPr w:rsidR="00FC693F" w:rsidRPr="0006063C" w:rsidSect="00034616">
      <w:headerReference w:type="default" r:id="rId9"/>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2657A"/>
        <w:sz w:val="14"/>
      </w:rPr>
      <w:t xml:space="preserve">Document-only edition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52657A"/>
        <w:sz w:val="15"/>
      </w:rPr>
      <w:t>ACES FIELD OPERATIONS  |  TECHNICAL HANDOVER — DOCUMENT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B1F3A"/>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4EA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4EA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ACES Field Team Tracker and Fault Management — Technical Handover (Document Edition)</dc:title>
  <dc:subject>Tools, architecture, APIs, integrations and system flow</dc:subject>
  <dc:creator>ACES Field Operations</dc:creator>
  <cp:keywords/>
  <dc:description>Document-only revision; application source files were not modified.</dc:description>
  <cp:lastModifiedBy/>
  <cp:revision>1</cp:revision>
  <dcterms:created xsi:type="dcterms:W3CDTF">2013-12-23T23:15:00Z</dcterms:created>
  <dcterms:modified xsi:type="dcterms:W3CDTF">2013-12-23T23:15:00Z</dcterms:modified>
  <cp:category/>
</cp:coreProperties>
</file>