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68"/>
      </w:tblGrid>
      <w:tr>
        <w:tc>
          <w:tcPr>
            <w:tcW w:type="dxa" w:w="10368"/>
            <w:shd w:fill="0B1F3A"/>
            <w:tcMar>
              <w:top w:w="190" w:type="dxa"/>
              <w:start w:w="230" w:type="dxa"/>
              <w:bottom w:w="150" w:type="dxa"/>
              <w:end w:w="230" w:type="dxa"/>
            </w:tcMar>
          </w:tcPr>
          <w:p>
            <w:pPr>
              <w:spacing w:after="60"/>
            </w:pPr>
            <w:r>
              <w:rPr>
                <w:b/>
                <w:color w:val="FFFFFF"/>
                <w:sz w:val="38"/>
              </w:rPr>
              <w:t>ACES Field Team Tracker &amp; Fault Management</w:t>
            </w:r>
          </w:p>
          <w:p>
            <w:pPr>
              <w:spacing w:after="0"/>
            </w:pPr>
            <w:r>
              <w:rPr>
                <w:color w:val="D6E7FF"/>
                <w:sz w:val="18"/>
              </w:rPr>
              <w:t>Management Overview  |  Hajj 1447 · Live Field Operations · stc COW Project</w:t>
            </w:r>
          </w:p>
        </w:tc>
      </w:tr>
    </w:tbl>
    <w:p>
      <w:pPr>
        <w:spacing w:after="40"/>
      </w:pPr>
    </w:p>
    <w:p>
      <w:pPr>
        <w:spacing w:after="200"/>
        <w:jc w:val="center"/>
      </w:pPr>
      <w:r>
        <w:rPr>
          <w:b/>
          <w:color w:val="174EA6"/>
          <w:sz w:val="26"/>
        </w:rPr>
        <w:t>Operational visibility, faster dispatch and accountable field response</w:t>
      </w:r>
    </w:p>
    <w:tbl>
      <w:tblPr>
        <w:tblW w:type="auto" w:w="0"/>
        <w:jc w:val="center"/>
        <w:tblLook w:firstColumn="1" w:firstRow="1" w:lastColumn="0" w:lastRow="0" w:noHBand="0" w:noVBand="1" w:val="04A0"/>
      </w:tblPr>
      <w:tblGrid>
        <w:gridCol w:w="10368"/>
      </w:tblGrid>
      <w:tr>
        <w:tc>
          <w:tcPr>
            <w:tcW w:type="dxa" w:w="10368"/>
            <w:shd w:fill="EAF2FF"/>
            <w:tcMar>
              <w:top w:w="130" w:type="dxa"/>
              <w:start w:w="180" w:type="dxa"/>
              <w:bottom w:w="130" w:type="dxa"/>
              <w:end w:w="180" w:type="dxa"/>
            </w:tcMar>
            <w:tcBorders>
              <w:top w:val="single" w:sz="4" w:color="EAF2FF"/>
              <w:bottom w:val="single" w:sz="4" w:color="EAF2FF"/>
              <w:left w:val="single" w:sz="12" w:color="174EA6"/>
              <w:right w:val="single" w:sz="4" w:color="EAF2FF"/>
            </w:tcBorders>
          </w:tcPr>
          <w:p>
            <w:pPr>
              <w:spacing w:after="60"/>
            </w:pPr>
            <w:r>
              <w:rPr>
                <w:b/>
                <w:color w:val="174EA6"/>
                <w:sz w:val="19"/>
              </w:rPr>
              <w:t>Purpose of this edition</w:t>
            </w:r>
          </w:p>
          <w:p>
            <w:pPr>
              <w:spacing w:after="0"/>
            </w:pPr>
            <w:r>
              <w:rPr>
                <w:color w:val="172033"/>
                <w:sz w:val="18"/>
              </w:rPr>
              <w:t>This document is designed for management review. It explains what the solution does, how teams use it, how external services connect, and which controls support reliable operations. Detailed implementation records remain maintained separately for engineering and support use.</w:t>
            </w:r>
          </w:p>
        </w:tc>
      </w:tr>
    </w:tbl>
    <w:p>
      <w:pPr>
        <w:spacing w:after="20"/>
      </w:pPr>
    </w:p>
    <w:p>
      <w:pPr>
        <w:pStyle w:val="Heading1"/>
        <w:keepNext/>
      </w:pPr>
      <w:r>
        <w:rPr>
          <w:color w:val="0B1F3A"/>
        </w:rPr>
        <w:t>1. Executive Summary</w:t>
      </w:r>
    </w:p>
    <w:p>
      <w:pPr>
        <w:spacing w:after="100" w:line="252" w:lineRule="auto"/>
      </w:pPr>
      <w:r>
        <w:rPr>
          <w:color w:val="172033"/>
          <w:sz w:val="19"/>
        </w:rPr>
        <w:t>The ACES Field Team Tracker and Fault Management solution provides a single operating view for Hajj COW field activity. It connects live fault intake, technician dispatch, mobile task execution, location visibility, route and ETA monitoring, site-risk analysis, notifications and closure tracking.</w:t>
      </w:r>
    </w:p>
    <w:p>
      <w:pPr>
        <w:spacing w:after="100" w:line="252" w:lineRule="auto"/>
      </w:pPr>
      <w:r>
        <w:rPr>
          <w:color w:val="172033"/>
          <w:sz w:val="19"/>
        </w:rPr>
        <w:t>The result is a controlled operational loop: an issue is received, normalized, assigned, acknowledged, tracked while the technician is moving, verified on arrival, and closed with a visible record for the control room.</w:t>
      </w:r>
    </w:p>
    <w:tbl>
      <w:tblPr>
        <w:tblW w:type="auto" w:w="0"/>
        <w:jc w:val="center"/>
        <w:tblLook w:firstColumn="1" w:firstRow="1" w:lastColumn="0" w:lastRow="0" w:noHBand="0" w:noVBand="1" w:val="04A0"/>
      </w:tblPr>
      <w:tblGrid>
        <w:gridCol w:w="5184"/>
        <w:gridCol w:w="5184"/>
      </w:tblGrid>
      <w:tr>
        <w:tc>
          <w:tcPr>
            <w:tcW w:type="dxa" w:w="5184"/>
            <w:shd w:fill="E8F7F5"/>
            <w:tcMar>
              <w:top w:w="130" w:type="dxa"/>
              <w:start w:w="160" w:type="dxa"/>
              <w:bottom w:w="130" w:type="dxa"/>
              <w:end w:w="160" w:type="dxa"/>
            </w:tcMar>
            <w:tcBorders>
              <w:top w:val="single" w:sz="4" w:color="E8F7F5"/>
              <w:bottom w:val="single" w:sz="4" w:color="E8F7F5"/>
              <w:left w:val="single" w:sz="12" w:color="087F8C"/>
              <w:right w:val="single" w:sz="4" w:color="E8F7F5"/>
            </w:tcBorders>
          </w:tcPr>
          <w:p>
            <w:pPr>
              <w:spacing w:after="60"/>
            </w:pPr>
            <w:r>
              <w:rPr>
                <w:b/>
                <w:color w:val="087F8C"/>
                <w:sz w:val="20"/>
              </w:rPr>
              <w:t>Management value</w:t>
            </w:r>
          </w:p>
          <w:p>
            <w:pPr>
              <w:spacing w:after="0"/>
            </w:pPr>
            <w:r>
              <w:rPr>
                <w:color w:val="172033"/>
                <w:sz w:val="17"/>
              </w:rPr>
              <w:t>Improves awareness of open faults, technician coverage, response progress and SLA attention.</w:t>
            </w:r>
          </w:p>
        </w:tc>
        <w:tc>
          <w:tcPr>
            <w:tcW w:type="dxa" w:w="5184"/>
            <w:shd w:fill="EAF2FF"/>
            <w:tcMar>
              <w:top w:w="130" w:type="dxa"/>
              <w:start w:w="160" w:type="dxa"/>
              <w:bottom w:w="130" w:type="dxa"/>
              <w:end w:w="160" w:type="dxa"/>
            </w:tcMar>
            <w:tcBorders>
              <w:top w:val="single" w:sz="4" w:color="EAF2FF"/>
              <w:bottom w:val="single" w:sz="4" w:color="EAF2FF"/>
              <w:left w:val="single" w:sz="12" w:color="174EA6"/>
              <w:right w:val="single" w:sz="4" w:color="EAF2FF"/>
            </w:tcBorders>
          </w:tcPr>
          <w:p>
            <w:pPr>
              <w:spacing w:after="60"/>
            </w:pPr>
            <w:r>
              <w:rPr>
                <w:b/>
                <w:color w:val="174EA6"/>
                <w:sz w:val="20"/>
              </w:rPr>
              <w:t>Field value</w:t>
            </w:r>
          </w:p>
          <w:p>
            <w:pPr>
              <w:spacing w:after="0"/>
            </w:pPr>
            <w:r>
              <w:rPr>
                <w:color w:val="172033"/>
                <w:sz w:val="17"/>
              </w:rPr>
              <w:t>Gives technicians clear assignments, COW details, navigation context, ETA, connection state and response actions.</w:t>
            </w:r>
          </w:p>
        </w:tc>
      </w:tr>
      <w:tr>
        <w:tc>
          <w:tcPr>
            <w:tcW w:type="dxa" w:w="5184"/>
            <w:shd w:fill="F3EEFF"/>
            <w:tcMar>
              <w:top w:w="130" w:type="dxa"/>
              <w:start w:w="160" w:type="dxa"/>
              <w:bottom w:w="130" w:type="dxa"/>
              <w:end w:w="160" w:type="dxa"/>
            </w:tcMar>
            <w:tcBorders>
              <w:top w:val="single" w:sz="4" w:color="F3EEFF"/>
              <w:bottom w:val="single" w:sz="4" w:color="F3EEFF"/>
              <w:left w:val="single" w:sz="12" w:color="6D28D9"/>
              <w:right w:val="single" w:sz="4" w:color="F3EEFF"/>
            </w:tcBorders>
          </w:tcPr>
          <w:p>
            <w:pPr>
              <w:spacing w:after="60"/>
            </w:pPr>
            <w:r>
              <w:rPr>
                <w:b/>
                <w:color w:val="6D28D9"/>
                <w:sz w:val="20"/>
              </w:rPr>
              <w:t>Control-room value</w:t>
            </w:r>
          </w:p>
          <w:p>
            <w:pPr>
              <w:spacing w:after="0"/>
            </w:pPr>
            <w:r>
              <w:rPr>
                <w:color w:val="172033"/>
                <w:sz w:val="17"/>
              </w:rPr>
              <w:t>Provides a live map and fault workbench for dispatch, escalation, route monitoring and resolution.</w:t>
            </w:r>
          </w:p>
        </w:tc>
        <w:tc>
          <w:tcPr>
            <w:tcW w:type="dxa" w:w="5184"/>
            <w:shd w:fill="FFF4E5"/>
            <w:tcMar>
              <w:top w:w="130" w:type="dxa"/>
              <w:start w:w="160" w:type="dxa"/>
              <w:bottom w:w="130" w:type="dxa"/>
              <w:end w:w="160" w:type="dxa"/>
            </w:tcMar>
            <w:tcBorders>
              <w:top w:val="single" w:sz="4" w:color="FFF4E5"/>
              <w:bottom w:val="single" w:sz="4" w:color="FFF4E5"/>
              <w:left w:val="single" w:sz="12" w:color="D97706"/>
              <w:right w:val="single" w:sz="4" w:color="FFF4E5"/>
            </w:tcBorders>
          </w:tcPr>
          <w:p>
            <w:pPr>
              <w:spacing w:after="60"/>
            </w:pPr>
            <w:r>
              <w:rPr>
                <w:b/>
                <w:color w:val="D97706"/>
                <w:sz w:val="20"/>
              </w:rPr>
              <w:t>Accountability value</w:t>
            </w:r>
          </w:p>
          <w:p>
            <w:pPr>
              <w:spacing w:after="0"/>
            </w:pPr>
            <w:r>
              <w:rPr>
                <w:color w:val="172033"/>
                <w:sz w:val="17"/>
              </w:rPr>
              <w:t>Maintains assignment, status, location and breadcrumb history to support operational review.</w:t>
            </w:r>
          </w:p>
        </w:tc>
      </w:tr>
    </w:tbl>
    <w:p>
      <w:pPr>
        <w:spacing w:after="20"/>
      </w:pPr>
    </w:p>
    <w:p>
      <w:pPr>
        <w:pStyle w:val="Heading1"/>
        <w:keepNext/>
      </w:pPr>
      <w:r>
        <w:rPr>
          <w:color w:val="0B1F3A"/>
        </w:rPr>
        <w:t>2. Solution at a Glance</w:t>
      </w:r>
    </w:p>
    <w:tbl>
      <w:tblPr>
        <w:tblW w:type="auto" w:w="0"/>
        <w:jc w:val="center"/>
        <w:tblLook w:firstColumn="1" w:firstRow="1" w:lastColumn="0" w:lastRow="0" w:noHBand="0" w:noVBand="1" w:val="04A0"/>
      </w:tblPr>
      <w:tblGrid>
        <w:gridCol w:w="3456"/>
        <w:gridCol w:w="3456"/>
        <w:gridCol w:w="3456"/>
      </w:tblGrid>
      <w:tr>
        <w:tc>
          <w:tcPr>
            <w:tcW w:type="dxa" w:w="3456"/>
            <w:shd w:fill="174EA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color w:val="FFFFFF"/>
                <w:sz w:val="17"/>
              </w:rPr>
              <w:t>Operational layer</w:t>
            </w:r>
          </w:p>
        </w:tc>
        <w:tc>
          <w:tcPr>
            <w:tcW w:type="dxa" w:w="3456"/>
            <w:shd w:fill="174EA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color w:val="FFFFFF"/>
                <w:sz w:val="17"/>
              </w:rPr>
              <w:t>Purpose</w:t>
            </w:r>
          </w:p>
        </w:tc>
        <w:tc>
          <w:tcPr>
            <w:tcW w:type="dxa" w:w="3456"/>
            <w:shd w:fill="174EA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color w:val="FFFFFF"/>
                <w:sz w:val="17"/>
              </w:rPr>
              <w:t>Primary users</w:t>
            </w:r>
          </w:p>
        </w:tc>
      </w:tr>
      <w:tr>
        <w:tc>
          <w:tcPr>
            <w:tcW w:type="dxa" w:w="345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Field mobile experience</w:t>
            </w:r>
          </w:p>
        </w:tc>
        <w:tc>
          <w:tcPr>
            <w:tcW w:type="dxa" w:w="345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Duty status, GPS activity, assignments, acknowledgements, messaging and fault response.</w:t>
            </w:r>
          </w:p>
        </w:tc>
        <w:tc>
          <w:tcPr>
            <w:tcW w:type="dxa" w:w="345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Technicians and managers</w:t>
            </w:r>
          </w:p>
        </w:tc>
      </w:tr>
      <w:tr>
        <w:tc>
          <w:tcPr>
            <w:tcW w:type="dxa" w:w="3456"/>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Operations dashboard</w:t>
            </w:r>
          </w:p>
        </w:tc>
        <w:tc>
          <w:tcPr>
            <w:tcW w:type="dxa" w:w="3456"/>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Live team coverage, site-risk views, active-fault workbench, map, route, ETA, SLA and status controls.</w:t>
            </w:r>
          </w:p>
        </w:tc>
        <w:tc>
          <w:tcPr>
            <w:tcW w:type="dxa" w:w="3456"/>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Control-room operators and managers</w:t>
            </w:r>
          </w:p>
        </w:tc>
      </w:tr>
      <w:tr>
        <w:tc>
          <w:tcPr>
            <w:tcW w:type="dxa" w:w="345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Integration and data services</w:t>
            </w:r>
          </w:p>
        </w:tc>
        <w:tc>
          <w:tcPr>
            <w:tcW w:type="dxa" w:w="345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Secure access, fault synchronization, dispatch coordination, location updates, notifications and operational records.</w:t>
            </w:r>
          </w:p>
        </w:tc>
        <w:tc>
          <w:tcPr>
            <w:tcW w:type="dxa" w:w="345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Operations support and administrators</w:t>
            </w:r>
          </w:p>
        </w:tc>
      </w:tr>
      <w:tr>
        <w:tc>
          <w:tcPr>
            <w:tcW w:type="dxa" w:w="3456"/>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External information sources</w:t>
            </w:r>
          </w:p>
        </w:tc>
        <w:tc>
          <w:tcPr>
            <w:tcW w:type="dxa" w:w="3456"/>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Power BI trouble-ticket records, mapping/routing services and push-notification providers.</w:t>
            </w:r>
          </w:p>
        </w:tc>
        <w:tc>
          <w:tcPr>
            <w:tcW w:type="dxa" w:w="3456"/>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Automated system connections</w:t>
            </w:r>
          </w:p>
        </w:tc>
      </w:tr>
    </w:tbl>
    <w:p>
      <w:pPr>
        <w:spacing w:after="40"/>
      </w:pPr>
    </w:p>
    <w:p>
      <w:pPr>
        <w:pStyle w:val="Heading1"/>
        <w:keepNext/>
      </w:pPr>
      <w:r>
        <w:rPr>
          <w:color w:val="0B1F3A"/>
        </w:rPr>
        <w:t>3. End-to-End Operating Model</w:t>
      </w:r>
    </w:p>
    <w:p>
      <w:pPr>
        <w:pStyle w:val="ListNumber"/>
        <w:spacing w:after="40"/>
        <w:ind w:left="288"/>
      </w:pPr>
      <w:r>
        <w:rPr>
          <w:color w:val="172033"/>
          <w:sz w:val="18"/>
        </w:rPr>
        <w:t>Open Hajj power and telecom trouble tickets are received from the approved operational reporting source.</w:t>
      </w:r>
    </w:p>
    <w:p>
      <w:pPr>
        <w:pStyle w:val="ListNumber"/>
        <w:spacing w:after="40"/>
        <w:ind w:left="288"/>
      </w:pPr>
      <w:r>
        <w:rPr>
          <w:color w:val="172033"/>
          <w:sz w:val="18"/>
        </w:rPr>
        <w:t>The platform standardizes ticket information and associates the ticket with the relevant COW/site and coordinates.</w:t>
      </w:r>
    </w:p>
    <w:p>
      <w:pPr>
        <w:pStyle w:val="ListNumber"/>
        <w:spacing w:after="40"/>
        <w:ind w:left="288"/>
      </w:pPr>
      <w:r>
        <w:rPr>
          <w:color w:val="172033"/>
          <w:sz w:val="18"/>
        </w:rPr>
        <w:t>The control room reviews the fault, selects a technician and dispatches the assignment.</w:t>
      </w:r>
    </w:p>
    <w:p>
      <w:pPr>
        <w:pStyle w:val="ListNumber"/>
        <w:spacing w:after="40"/>
        <w:ind w:left="288"/>
      </w:pPr>
      <w:r>
        <w:rPr>
          <w:color w:val="172033"/>
          <w:sz w:val="18"/>
        </w:rPr>
        <w:t>The technician receives the assignment and notification, reviews the task and acknowledges it.</w:t>
      </w:r>
    </w:p>
    <w:p>
      <w:pPr>
        <w:pStyle w:val="ListNumber"/>
        <w:spacing w:after="40"/>
        <w:ind w:left="288"/>
      </w:pPr>
      <w:r>
        <w:rPr>
          <w:color w:val="172033"/>
          <w:sz w:val="18"/>
        </w:rPr>
        <w:t>The technician goes on duty and the platform shares location updates for operational visibility.</w:t>
      </w:r>
    </w:p>
    <w:p>
      <w:pPr>
        <w:pStyle w:val="ListNumber"/>
        <w:spacing w:after="40"/>
        <w:ind w:left="288"/>
      </w:pPr>
      <w:r>
        <w:rPr>
          <w:color w:val="172033"/>
          <w:sz w:val="18"/>
        </w:rPr>
        <w:t>Movement and arrival are detected automatically; the dashboard displays route, ETA, SLA state and breadcrumb trail.</w:t>
      </w:r>
    </w:p>
    <w:p>
      <w:pPr>
        <w:pStyle w:val="ListNumber"/>
        <w:spacing w:after="40"/>
        <w:ind w:left="288"/>
      </w:pPr>
      <w:r>
        <w:rPr>
          <w:color w:val="172033"/>
          <w:sz w:val="18"/>
        </w:rPr>
        <w:t>The field team or operator records resolution, and the fault progresses to closed in the operational record.</w:t>
      </w:r>
    </w:p>
    <w:tbl>
      <w:tblPr>
        <w:tblW w:type="auto" w:w="0"/>
        <w:jc w:val="center"/>
        <w:tblLook w:firstColumn="1" w:firstRow="1" w:lastColumn="0" w:lastRow="0" w:noHBand="0" w:noVBand="1" w:val="04A0"/>
      </w:tblPr>
      <w:tblGrid>
        <w:gridCol w:w="10368"/>
      </w:tblGrid>
      <w:tr>
        <w:tc>
          <w:tcPr>
            <w:tcW w:type="dxa" w:w="10368"/>
            <w:shd w:fill="FFF4E5"/>
            <w:tcMar>
              <w:top w:w="130" w:type="dxa"/>
              <w:start w:w="180" w:type="dxa"/>
              <w:bottom w:w="130" w:type="dxa"/>
              <w:end w:w="180" w:type="dxa"/>
            </w:tcMar>
            <w:tcBorders>
              <w:top w:val="single" w:sz="4" w:color="FFF4E5"/>
              <w:bottom w:val="single" w:sz="4" w:color="FFF4E5"/>
              <w:left w:val="single" w:sz="12" w:color="D97706"/>
              <w:right w:val="single" w:sz="4" w:color="FFF4E5"/>
            </w:tcBorders>
          </w:tcPr>
          <w:p>
            <w:pPr>
              <w:spacing w:after="60"/>
            </w:pPr>
            <w:r>
              <w:rPr>
                <w:b/>
                <w:color w:val="D97706"/>
                <w:sz w:val="19"/>
              </w:rPr>
              <w:t>Live operations loop</w:t>
            </w:r>
          </w:p>
          <w:p>
            <w:pPr>
              <w:spacing w:after="0"/>
            </w:pPr>
            <w:r>
              <w:rPr>
                <w:color w:val="172033"/>
                <w:sz w:val="18"/>
              </w:rPr>
              <w:t>Ingest → normalize → dispatch → acknowledge → track → verify arrival → resolve → close</w:t>
            </w:r>
          </w:p>
        </w:tc>
      </w:tr>
    </w:tbl>
    <w:p>
      <w:pPr>
        <w:spacing w:after="20"/>
      </w:pPr>
    </w:p>
    <w:p>
      <w:pPr>
        <w:pStyle w:val="Heading1"/>
        <w:keepNext/>
      </w:pPr>
      <w:r>
        <w:rPr>
          <w:color w:val="0B1F3A"/>
        </w:rPr>
        <w:t>4. Roles and User Workflows</w:t>
      </w:r>
    </w:p>
    <w:p>
      <w:pPr>
        <w:pStyle w:val="Heading2"/>
        <w:keepNext/>
      </w:pPr>
      <w:r>
        <w:rPr>
          <w:color w:val="174EA6"/>
        </w:rPr>
        <w:t>Technician workflow</w:t>
      </w:r>
    </w:p>
    <w:p>
      <w:pPr>
        <w:pStyle w:val="ListBullet"/>
        <w:spacing w:after="40"/>
        <w:ind w:left="288"/>
      </w:pPr>
      <w:r>
        <w:rPr>
          <w:color w:val="172033"/>
          <w:sz w:val="18"/>
        </w:rPr>
        <w:t>Signs in using an assigned identity and receives the appropriate role permissions.</w:t>
      </w:r>
    </w:p>
    <w:p>
      <w:pPr>
        <w:pStyle w:val="ListBullet"/>
        <w:spacing w:after="40"/>
        <w:ind w:left="288"/>
      </w:pPr>
      <w:r>
        <w:rPr>
          <w:color w:val="172033"/>
          <w:sz w:val="18"/>
        </w:rPr>
        <w:t>Selects Go On Duty and grants the required device location permissions.</w:t>
      </w:r>
    </w:p>
    <w:p>
      <w:pPr>
        <w:pStyle w:val="ListBullet"/>
        <w:spacing w:after="40"/>
        <w:ind w:left="288"/>
      </w:pPr>
      <w:r>
        <w:rPr>
          <w:color w:val="172033"/>
          <w:sz w:val="18"/>
        </w:rPr>
        <w:t>Receives assigned faults with COW/site, severity and response information.</w:t>
      </w:r>
    </w:p>
    <w:p>
      <w:pPr>
        <w:pStyle w:val="ListBullet"/>
        <w:spacing w:after="40"/>
        <w:ind w:left="288"/>
      </w:pPr>
      <w:r>
        <w:rPr>
          <w:color w:val="172033"/>
          <w:sz w:val="18"/>
        </w:rPr>
        <w:t>Acknowledges the task, communicates with the manager when needed, and travels to site.</w:t>
      </w:r>
    </w:p>
    <w:p>
      <w:pPr>
        <w:pStyle w:val="ListBullet"/>
        <w:spacing w:after="40"/>
        <w:ind w:left="288"/>
      </w:pPr>
      <w:r>
        <w:rPr>
          <w:color w:val="172033"/>
          <w:sz w:val="18"/>
        </w:rPr>
        <w:t>Sees movement, GPS quality, connection state, distance and ETA while responding.</w:t>
      </w:r>
    </w:p>
    <w:p>
      <w:pPr>
        <w:pStyle w:val="ListBullet"/>
        <w:spacing w:after="40"/>
        <w:ind w:left="288"/>
      </w:pPr>
      <w:r>
        <w:rPr>
          <w:color w:val="172033"/>
          <w:sz w:val="18"/>
        </w:rPr>
        <w:t>Tracking ends when the response is completed, the fault is closed, or duty is ended.</w:t>
      </w:r>
    </w:p>
    <w:p>
      <w:pPr>
        <w:pStyle w:val="Heading2"/>
        <w:keepNext/>
      </w:pPr>
      <w:r>
        <w:rPr>
          <w:color w:val="174EA6"/>
        </w:rPr>
        <w:t>Manager and control-room workflow</w:t>
      </w:r>
    </w:p>
    <w:p>
      <w:pPr>
        <w:pStyle w:val="ListBullet"/>
        <w:spacing w:after="40"/>
        <w:ind w:left="288"/>
      </w:pPr>
      <w:r>
        <w:rPr>
          <w:color w:val="172033"/>
          <w:sz w:val="18"/>
        </w:rPr>
        <w:t>Views current team coverage, duty state, area and last update.</w:t>
      </w:r>
    </w:p>
    <w:p>
      <w:pPr>
        <w:pStyle w:val="ListBullet"/>
        <w:spacing w:after="40"/>
        <w:ind w:left="288"/>
      </w:pPr>
      <w:r>
        <w:rPr>
          <w:color w:val="172033"/>
          <w:sz w:val="18"/>
        </w:rPr>
        <w:t>Reviews open faults, severity, site, response stage and SLA attention.</w:t>
      </w:r>
    </w:p>
    <w:p>
      <w:pPr>
        <w:pStyle w:val="ListBullet"/>
        <w:spacing w:after="40"/>
        <w:ind w:left="288"/>
      </w:pPr>
      <w:r>
        <w:rPr>
          <w:color w:val="172033"/>
          <w:sz w:val="18"/>
        </w:rPr>
        <w:t>Dispatches a selected technician or broadcasts an operational message.</w:t>
      </w:r>
    </w:p>
    <w:p>
      <w:pPr>
        <w:pStyle w:val="ListBullet"/>
        <w:spacing w:after="40"/>
        <w:ind w:left="288"/>
      </w:pPr>
      <w:r>
        <w:rPr>
          <w:color w:val="172033"/>
          <w:sz w:val="18"/>
        </w:rPr>
        <w:t>Monitors route, ETA, movement state and breadcrumb history.</w:t>
      </w:r>
    </w:p>
    <w:p>
      <w:pPr>
        <w:pStyle w:val="ListBullet"/>
        <w:spacing w:after="40"/>
        <w:ind w:left="288"/>
      </w:pPr>
      <w:r>
        <w:rPr>
          <w:color w:val="172033"/>
          <w:sz w:val="18"/>
        </w:rPr>
        <w:t>Updates assignment and fault status, reviews replies and confirms resolution.</w:t>
      </w:r>
    </w:p>
    <w:p>
      <w:pPr>
        <w:pStyle w:val="ListBullet"/>
        <w:spacing w:after="40"/>
        <w:ind w:left="288"/>
      </w:pPr>
      <w:r>
        <w:rPr>
          <w:color w:val="172033"/>
          <w:sz w:val="18"/>
        </w:rPr>
        <w:t>Maintains team users, operating areas and related administrative information.</w:t>
      </w:r>
    </w:p>
    <w:p>
      <w:pPr>
        <w:pStyle w:val="Heading1"/>
        <w:keepNext/>
      </w:pPr>
      <w:r>
        <w:rPr>
          <w:color w:val="0B1F3A"/>
        </w:rPr>
        <w:t>5. Fault Management Lifecycle</w:t>
      </w:r>
    </w:p>
    <w:tbl>
      <w:tblPr>
        <w:tblW w:type="auto" w:w="0"/>
        <w:jc w:val="center"/>
        <w:tblLook w:firstColumn="1" w:firstRow="1" w:lastColumn="0" w:lastRow="0" w:noHBand="0" w:noVBand="1" w:val="04A0"/>
      </w:tblPr>
      <w:tblGrid>
        <w:gridCol w:w="3456"/>
        <w:gridCol w:w="3456"/>
        <w:gridCol w:w="3456"/>
      </w:tblGrid>
      <w:tr>
        <w:tc>
          <w:tcPr>
            <w:tcW w:type="dxa" w:w="3456"/>
            <w:shd w:fill="174EA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color w:val="FFFFFF"/>
                <w:sz w:val="17"/>
              </w:rPr>
              <w:t>Stage</w:t>
            </w:r>
          </w:p>
        </w:tc>
        <w:tc>
          <w:tcPr>
            <w:tcW w:type="dxa" w:w="3456"/>
            <w:shd w:fill="174EA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color w:val="FFFFFF"/>
                <w:sz w:val="17"/>
              </w:rPr>
              <w:t>What happens</w:t>
            </w:r>
          </w:p>
        </w:tc>
        <w:tc>
          <w:tcPr>
            <w:tcW w:type="dxa" w:w="3456"/>
            <w:shd w:fill="174EA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color w:val="FFFFFF"/>
                <w:sz w:val="17"/>
              </w:rPr>
              <w:t>Management visibility</w:t>
            </w:r>
          </w:p>
        </w:tc>
      </w:tr>
      <w:tr>
        <w:tc>
          <w:tcPr>
            <w:tcW w:type="dxa" w:w="345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New / received</w:t>
            </w:r>
          </w:p>
        </w:tc>
        <w:tc>
          <w:tcPr>
            <w:tcW w:type="dxa" w:w="345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A new active fault is synchronized and associated with a COW/site.</w:t>
            </w:r>
          </w:p>
        </w:tc>
        <w:tc>
          <w:tcPr>
            <w:tcW w:type="dxa" w:w="345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Fault ID, severity, site and received time</w:t>
            </w:r>
          </w:p>
        </w:tc>
      </w:tr>
      <w:tr>
        <w:tc>
          <w:tcPr>
            <w:tcW w:type="dxa" w:w="3456"/>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Assigned</w:t>
            </w:r>
          </w:p>
        </w:tc>
        <w:tc>
          <w:tcPr>
            <w:tcW w:type="dxa" w:w="3456"/>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A technician is selected and the task is dispatched.</w:t>
            </w:r>
          </w:p>
        </w:tc>
        <w:tc>
          <w:tcPr>
            <w:tcW w:type="dxa" w:w="3456"/>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Assignee, dispatch time, notification state</w:t>
            </w:r>
          </w:p>
        </w:tc>
      </w:tr>
      <w:tr>
        <w:tc>
          <w:tcPr>
            <w:tcW w:type="dxa" w:w="345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Acknowledged</w:t>
            </w:r>
          </w:p>
        </w:tc>
        <w:tc>
          <w:tcPr>
            <w:tcW w:type="dxa" w:w="345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The technician confirms the task has been received.</w:t>
            </w:r>
          </w:p>
        </w:tc>
        <w:tc>
          <w:tcPr>
            <w:tcW w:type="dxa" w:w="345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Acknowledgement and communication history</w:t>
            </w:r>
          </w:p>
        </w:tc>
      </w:tr>
      <w:tr>
        <w:tc>
          <w:tcPr>
            <w:tcW w:type="dxa" w:w="3456"/>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En route</w:t>
            </w:r>
          </w:p>
        </w:tc>
        <w:tc>
          <w:tcPr>
            <w:tcW w:type="dxa" w:w="3456"/>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Movement is detected and response tracking is active.</w:t>
            </w:r>
          </w:p>
        </w:tc>
        <w:tc>
          <w:tcPr>
            <w:tcW w:type="dxa" w:w="3456"/>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Map position, route, speed, ETA, SLA attention</w:t>
            </w:r>
          </w:p>
        </w:tc>
      </w:tr>
      <w:tr>
        <w:tc>
          <w:tcPr>
            <w:tcW w:type="dxa" w:w="345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On site</w:t>
            </w:r>
          </w:p>
        </w:tc>
        <w:tc>
          <w:tcPr>
            <w:tcW w:type="dxa" w:w="345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Arrival is detected within the configured site boundary.</w:t>
            </w:r>
          </w:p>
        </w:tc>
        <w:tc>
          <w:tcPr>
            <w:tcW w:type="dxa" w:w="345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Arrival transition and breadcrumb trail</w:t>
            </w:r>
          </w:p>
        </w:tc>
      </w:tr>
      <w:tr>
        <w:tc>
          <w:tcPr>
            <w:tcW w:type="dxa" w:w="3456"/>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Resolved / closed</w:t>
            </w:r>
          </w:p>
        </w:tc>
        <w:tc>
          <w:tcPr>
            <w:tcW w:type="dxa" w:w="3456"/>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The field response is complete and the record is closed.</w:t>
            </w:r>
          </w:p>
        </w:tc>
        <w:tc>
          <w:tcPr>
            <w:tcW w:type="dxa" w:w="3456"/>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Resolution status and timestamps</w:t>
            </w:r>
          </w:p>
        </w:tc>
      </w:tr>
    </w:tbl>
    <w:p>
      <w:pPr>
        <w:spacing w:after="40"/>
      </w:pPr>
    </w:p>
    <w:p>
      <w:pPr>
        <w:pStyle w:val="Heading1"/>
        <w:keepNext/>
      </w:pPr>
      <w:r>
        <w:rPr>
          <w:color w:val="0B1F3A"/>
        </w:rPr>
        <w:t>6. Live Location, Dispatch and Response Controls</w:t>
      </w:r>
    </w:p>
    <w:p>
      <w:pPr>
        <w:spacing w:after="100" w:line="252" w:lineRule="auto"/>
      </w:pPr>
      <w:r>
        <w:rPr>
          <w:color w:val="172033"/>
          <w:sz w:val="19"/>
        </w:rPr>
        <w:t>The platform is designed to show the latest available team position while avoiding unnecessary movement noise. Location quality is assessed before an update is accepted, and the system can continue with a controlled fallback when the preferred live channel is unavailable.</w:t>
      </w:r>
    </w:p>
    <w:tbl>
      <w:tblPr>
        <w:tblW w:type="auto" w:w="0"/>
        <w:jc w:val="center"/>
        <w:tblLook w:firstColumn="1" w:firstRow="1" w:lastColumn="0" w:lastRow="0" w:noHBand="0" w:noVBand="1" w:val="04A0"/>
      </w:tblPr>
      <w:tblGrid>
        <w:gridCol w:w="5184"/>
        <w:gridCol w:w="5184"/>
      </w:tblGrid>
      <w:tr>
        <w:tc>
          <w:tcPr>
            <w:tcW w:type="dxa" w:w="5184"/>
            <w:shd w:fill="E8F7F5"/>
            <w:tcMar>
              <w:top w:w="130" w:type="dxa"/>
              <w:start w:w="160" w:type="dxa"/>
              <w:bottom w:w="130" w:type="dxa"/>
              <w:end w:w="160" w:type="dxa"/>
            </w:tcMar>
            <w:tcBorders>
              <w:top w:val="single" w:sz="4" w:color="E8F7F5"/>
              <w:bottom w:val="single" w:sz="4" w:color="E8F7F5"/>
              <w:left w:val="single" w:sz="12" w:color="087F8C"/>
              <w:right w:val="single" w:sz="4" w:color="E8F7F5"/>
            </w:tcBorders>
          </w:tcPr>
          <w:p>
            <w:pPr>
              <w:spacing w:after="60"/>
            </w:pPr>
            <w:r>
              <w:rPr>
                <w:b/>
                <w:color w:val="087F8C"/>
                <w:sz w:val="20"/>
              </w:rPr>
              <w:t>Location visibility</w:t>
            </w:r>
          </w:p>
          <w:p>
            <w:pPr>
              <w:spacing w:after="0"/>
            </w:pPr>
            <w:r>
              <w:rPr>
                <w:color w:val="172033"/>
                <w:sz w:val="17"/>
              </w:rPr>
              <w:t>Current team positions and last-update times are available to the operations view.</w:t>
            </w:r>
          </w:p>
        </w:tc>
        <w:tc>
          <w:tcPr>
            <w:tcW w:type="dxa" w:w="5184"/>
            <w:shd w:fill="EAF2FF"/>
            <w:tcMar>
              <w:top w:w="130" w:type="dxa"/>
              <w:start w:w="160" w:type="dxa"/>
              <w:bottom w:w="130" w:type="dxa"/>
              <w:end w:w="160" w:type="dxa"/>
            </w:tcMar>
            <w:tcBorders>
              <w:top w:val="single" w:sz="4" w:color="EAF2FF"/>
              <w:bottom w:val="single" w:sz="4" w:color="EAF2FF"/>
              <w:left w:val="single" w:sz="12" w:color="174EA6"/>
              <w:right w:val="single" w:sz="4" w:color="EAF2FF"/>
            </w:tcBorders>
          </w:tcPr>
          <w:p>
            <w:pPr>
              <w:spacing w:after="60"/>
            </w:pPr>
            <w:r>
              <w:rPr>
                <w:b/>
                <w:color w:val="174EA6"/>
                <w:sz w:val="20"/>
              </w:rPr>
              <w:t>Movement awareness</w:t>
            </w:r>
          </w:p>
          <w:p>
            <w:pPr>
              <w:spacing w:after="0"/>
            </w:pPr>
            <w:r>
              <w:rPr>
                <w:color w:val="172033"/>
                <w:sz w:val="17"/>
              </w:rPr>
              <w:t>The platform distinguishes stationary, moving, en-route and arrived states for response monitoring.</w:t>
            </w:r>
          </w:p>
        </w:tc>
      </w:tr>
      <w:tr>
        <w:tc>
          <w:tcPr>
            <w:tcW w:type="dxa" w:w="5184"/>
            <w:shd w:fill="F3EEFF"/>
            <w:tcMar>
              <w:top w:w="130" w:type="dxa"/>
              <w:start w:w="160" w:type="dxa"/>
              <w:bottom w:w="130" w:type="dxa"/>
              <w:end w:w="160" w:type="dxa"/>
            </w:tcMar>
            <w:tcBorders>
              <w:top w:val="single" w:sz="4" w:color="F3EEFF"/>
              <w:bottom w:val="single" w:sz="4" w:color="F3EEFF"/>
              <w:left w:val="single" w:sz="12" w:color="6D28D9"/>
              <w:right w:val="single" w:sz="4" w:color="F3EEFF"/>
            </w:tcBorders>
          </w:tcPr>
          <w:p>
            <w:pPr>
              <w:spacing w:after="60"/>
            </w:pPr>
            <w:r>
              <w:rPr>
                <w:b/>
                <w:color w:val="6D28D9"/>
                <w:sz w:val="20"/>
              </w:rPr>
              <w:t>Arrival verification</w:t>
            </w:r>
          </w:p>
          <w:p>
            <w:pPr>
              <w:spacing w:after="0"/>
            </w:pPr>
            <w:r>
              <w:rPr>
                <w:color w:val="172033"/>
                <w:sz w:val="17"/>
              </w:rPr>
              <w:t>A configured site-radius rule supports the transition from en-route to on-site.</w:t>
            </w:r>
          </w:p>
        </w:tc>
        <w:tc>
          <w:tcPr>
            <w:tcW w:type="dxa" w:w="5184"/>
            <w:shd w:fill="FFF4E5"/>
            <w:tcMar>
              <w:top w:w="130" w:type="dxa"/>
              <w:start w:w="160" w:type="dxa"/>
              <w:bottom w:w="130" w:type="dxa"/>
              <w:end w:w="160" w:type="dxa"/>
            </w:tcMar>
            <w:tcBorders>
              <w:top w:val="single" w:sz="4" w:color="FFF4E5"/>
              <w:bottom w:val="single" w:sz="4" w:color="FFF4E5"/>
              <w:left w:val="single" w:sz="12" w:color="D97706"/>
              <w:right w:val="single" w:sz="4" w:color="FFF4E5"/>
            </w:tcBorders>
          </w:tcPr>
          <w:p>
            <w:pPr>
              <w:spacing w:after="60"/>
            </w:pPr>
            <w:r>
              <w:rPr>
                <w:b/>
                <w:color w:val="D97706"/>
                <w:sz w:val="20"/>
              </w:rPr>
              <w:t>Response history</w:t>
            </w:r>
          </w:p>
          <w:p>
            <w:pPr>
              <w:spacing w:after="0"/>
            </w:pPr>
            <w:r>
              <w:rPr>
                <w:color w:val="172033"/>
                <w:sz w:val="17"/>
              </w:rPr>
              <w:t>Breadcrumbs, route, ETA and status timestamps support after-action review.</w:t>
            </w:r>
          </w:p>
        </w:tc>
      </w:tr>
    </w:tbl>
    <w:p>
      <w:pPr>
        <w:spacing w:after="20"/>
      </w:pPr>
    </w:p>
    <w:p>
      <w:pPr>
        <w:pStyle w:val="Heading1"/>
        <w:keepNext/>
      </w:pPr>
      <w:r>
        <w:rPr>
          <w:color w:val="0B1F3A"/>
        </w:rPr>
        <w:t>7. Site Risk and Team Coverage</w:t>
      </w:r>
    </w:p>
    <w:p>
      <w:pPr>
        <w:spacing w:after="100" w:line="252" w:lineRule="auto"/>
      </w:pPr>
      <w:r>
        <w:rPr>
          <w:color w:val="172033"/>
          <w:sz w:val="19"/>
        </w:rPr>
        <w:t>The Hajj dashboard combines site-risk information with live ACES/MSD team coverage. Managers can compare the location of active teams with COW/site conditions and prioritize attention where fault severity, site risk or response timing indicates a need for escalation.</w:t>
      </w:r>
    </w:p>
    <w:tbl>
      <w:tblPr>
        <w:tblW w:type="auto" w:w="0"/>
        <w:jc w:val="center"/>
        <w:tblLook w:firstColumn="1" w:firstRow="1" w:lastColumn="0" w:lastRow="0" w:noHBand="0" w:noVBand="1" w:val="04A0"/>
      </w:tblPr>
      <w:tblGrid>
        <w:gridCol w:w="5184"/>
        <w:gridCol w:w="5184"/>
      </w:tblGrid>
      <w:tr>
        <w:tc>
          <w:tcPr>
            <w:tcW w:type="dxa" w:w="5184"/>
            <w:shd w:fill="174EA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color w:val="FFFFFF"/>
                <w:sz w:val="17"/>
              </w:rPr>
              <w:t>View</w:t>
            </w:r>
          </w:p>
        </w:tc>
        <w:tc>
          <w:tcPr>
            <w:tcW w:type="dxa" w:w="5184"/>
            <w:shd w:fill="174EA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color w:val="FFFFFF"/>
                <w:sz w:val="17"/>
              </w:rPr>
              <w:t>Decision supported</w:t>
            </w:r>
          </w:p>
        </w:tc>
      </w:tr>
      <w:tr>
        <w:tc>
          <w:tcPr>
            <w:tcW w:type="dxa" w:w="5184"/>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Team coverage</w:t>
            </w:r>
          </w:p>
        </w:tc>
        <w:tc>
          <w:tcPr>
            <w:tcW w:type="dxa" w:w="5184"/>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Are the required technicians on duty and positioned across the operating area?</w:t>
            </w:r>
          </w:p>
        </w:tc>
      </w:tr>
      <w:tr>
        <w:tc>
          <w:tcPr>
            <w:tcW w:type="dxa" w:w="5184"/>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Site-risk map</w:t>
            </w:r>
          </w:p>
        </w:tc>
        <w:tc>
          <w:tcPr>
            <w:tcW w:type="dxa" w:w="5184"/>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Which sites require preventive attention, backup planning or urgent response?</w:t>
            </w:r>
          </w:p>
        </w:tc>
      </w:tr>
      <w:tr>
        <w:tc>
          <w:tcPr>
            <w:tcW w:type="dxa" w:w="5184"/>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Fault map and list</w:t>
            </w:r>
          </w:p>
        </w:tc>
        <w:tc>
          <w:tcPr>
            <w:tcW w:type="dxa" w:w="5184"/>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Which active faults need assignment, escalation or status action?</w:t>
            </w:r>
          </w:p>
        </w:tc>
      </w:tr>
      <w:tr>
        <w:tc>
          <w:tcPr>
            <w:tcW w:type="dxa" w:w="5184"/>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Risk and response indicators</w:t>
            </w:r>
          </w:p>
        </w:tc>
        <w:tc>
          <w:tcPr>
            <w:tcW w:type="dxa" w:w="5184"/>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Where are risk, SLA or coverage conditions changing?</w:t>
            </w:r>
          </w:p>
        </w:tc>
      </w:tr>
    </w:tbl>
    <w:p>
      <w:pPr>
        <w:spacing w:after="40"/>
      </w:pPr>
    </w:p>
    <w:p>
      <w:pPr>
        <w:pStyle w:val="Heading1"/>
        <w:keepNext/>
      </w:pPr>
      <w:r>
        <w:rPr>
          <w:color w:val="0B1F3A"/>
        </w:rPr>
        <w:t>8. Connected Services</w:t>
      </w:r>
    </w:p>
    <w:tbl>
      <w:tblPr>
        <w:tblW w:type="auto" w:w="0"/>
        <w:jc w:val="center"/>
        <w:tblLook w:firstColumn="1" w:firstRow="1" w:lastColumn="0" w:lastRow="0" w:noHBand="0" w:noVBand="1" w:val="04A0"/>
      </w:tblPr>
      <w:tblGrid>
        <w:gridCol w:w="3456"/>
        <w:gridCol w:w="3456"/>
        <w:gridCol w:w="3456"/>
      </w:tblGrid>
      <w:tr>
        <w:tc>
          <w:tcPr>
            <w:tcW w:type="dxa" w:w="3456"/>
            <w:shd w:fill="174EA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color w:val="FFFFFF"/>
                <w:sz w:val="17"/>
              </w:rPr>
              <w:t>Service</w:t>
            </w:r>
          </w:p>
        </w:tc>
        <w:tc>
          <w:tcPr>
            <w:tcW w:type="dxa" w:w="3456"/>
            <w:shd w:fill="174EA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color w:val="FFFFFF"/>
                <w:sz w:val="17"/>
              </w:rPr>
              <w:t>Role in the operating model</w:t>
            </w:r>
          </w:p>
        </w:tc>
        <w:tc>
          <w:tcPr>
            <w:tcW w:type="dxa" w:w="3456"/>
            <w:shd w:fill="174EA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color w:val="FFFFFF"/>
                <w:sz w:val="17"/>
              </w:rPr>
              <w:t>Dependency / control</w:t>
            </w:r>
          </w:p>
        </w:tc>
      </w:tr>
      <w:tr>
        <w:tc>
          <w:tcPr>
            <w:tcW w:type="dxa" w:w="345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Power BI</w:t>
            </w:r>
          </w:p>
        </w:tc>
        <w:tc>
          <w:tcPr>
            <w:tcW w:type="dxa" w:w="345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Provides the source records for open Hajj power and telecom trouble tickets.</w:t>
            </w:r>
          </w:p>
        </w:tc>
        <w:tc>
          <w:tcPr>
            <w:tcW w:type="dxa" w:w="345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Requires approved access and reporting permissions.</w:t>
            </w:r>
          </w:p>
        </w:tc>
      </w:tr>
      <w:tr>
        <w:tc>
          <w:tcPr>
            <w:tcW w:type="dxa" w:w="3456"/>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Google Maps</w:t>
            </w:r>
          </w:p>
        </w:tc>
        <w:tc>
          <w:tcPr>
            <w:tcW w:type="dxa" w:w="3456"/>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Supports geographic visualization, route display, distance and driving ETA.</w:t>
            </w:r>
          </w:p>
        </w:tc>
        <w:tc>
          <w:tcPr>
            <w:tcW w:type="dxa" w:w="3456"/>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Requires an approved maps configuration and enabled services.</w:t>
            </w:r>
          </w:p>
        </w:tc>
      </w:tr>
      <w:tr>
        <w:tc>
          <w:tcPr>
            <w:tcW w:type="dxa" w:w="345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Push notifications</w:t>
            </w:r>
          </w:p>
        </w:tc>
        <w:tc>
          <w:tcPr>
            <w:tcW w:type="dxa" w:w="345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Alerts technicians about assignments and important operational messages.</w:t>
            </w:r>
          </w:p>
        </w:tc>
        <w:tc>
          <w:tcPr>
            <w:tcW w:type="dxa" w:w="345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Requires registered device tokens and provider configuration.</w:t>
            </w:r>
          </w:p>
        </w:tc>
      </w:tr>
      <w:tr>
        <w:tc>
          <w:tcPr>
            <w:tcW w:type="dxa" w:w="3456"/>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Operational database</w:t>
            </w:r>
          </w:p>
        </w:tc>
        <w:tc>
          <w:tcPr>
            <w:tcW w:type="dxa" w:w="3456"/>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Stores users, faults, assignments, current locations, statuses and response history.</w:t>
            </w:r>
          </w:p>
        </w:tc>
        <w:tc>
          <w:tcPr>
            <w:tcW w:type="dxa" w:w="3456"/>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Protected access; operational records are the source of truth.</w:t>
            </w:r>
          </w:p>
        </w:tc>
      </w:tr>
      <w:tr>
        <w:tc>
          <w:tcPr>
            <w:tcW w:type="dxa" w:w="345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Secure application access</w:t>
            </w:r>
          </w:p>
        </w:tc>
        <w:tc>
          <w:tcPr>
            <w:tcW w:type="dxa" w:w="345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Applies identity, roles and controlled API access for mobile and dashboard users.</w:t>
            </w:r>
          </w:p>
        </w:tc>
        <w:tc>
          <w:tcPr>
            <w:tcW w:type="dxa" w:w="345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Credentials and service keys remain in protected environment storage.</w:t>
            </w:r>
          </w:p>
        </w:tc>
      </w:tr>
    </w:tbl>
    <w:p>
      <w:pPr>
        <w:spacing w:after="40"/>
      </w:pPr>
    </w:p>
    <w:p>
      <w:pPr>
        <w:pStyle w:val="Heading1"/>
        <w:keepNext/>
      </w:pPr>
      <w:r>
        <w:rPr>
          <w:color w:val="0B1F3A"/>
        </w:rPr>
        <w:t>9. Data, Security and Governance</w:t>
      </w:r>
    </w:p>
    <w:p>
      <w:pPr>
        <w:pStyle w:val="ListBullet"/>
        <w:spacing w:after="40"/>
        <w:ind w:left="288"/>
      </w:pPr>
      <w:r>
        <w:rPr>
          <w:color w:val="172033"/>
          <w:sz w:val="18"/>
        </w:rPr>
        <w:t>Management users and technicians access only the functions appropriate to their role.</w:t>
      </w:r>
    </w:p>
    <w:p>
      <w:pPr>
        <w:pStyle w:val="ListBullet"/>
        <w:spacing w:after="40"/>
        <w:ind w:left="288"/>
      </w:pPr>
      <w:r>
        <w:rPr>
          <w:color w:val="172033"/>
          <w:sz w:val="18"/>
        </w:rPr>
        <w:t>Service credentials, map keys, reporting credentials, notification credentials and mobile build credentials are kept outside the document and should remain in protected secret storage.</w:t>
      </w:r>
    </w:p>
    <w:p>
      <w:pPr>
        <w:pStyle w:val="ListBullet"/>
        <w:spacing w:after="40"/>
        <w:ind w:left="288"/>
      </w:pPr>
      <w:r>
        <w:rPr>
          <w:color w:val="172033"/>
          <w:sz w:val="18"/>
        </w:rPr>
        <w:t>The operational database maintains the current location, active fault and assignment records needed for live response.</w:t>
      </w:r>
    </w:p>
    <w:p>
      <w:pPr>
        <w:pStyle w:val="ListBullet"/>
        <w:spacing w:after="40"/>
        <w:ind w:left="288"/>
      </w:pPr>
      <w:r>
        <w:rPr>
          <w:color w:val="172033"/>
          <w:sz w:val="18"/>
        </w:rPr>
        <w:t>Active-ticket uniqueness controls help prevent duplicate open records for the same trouble-ticket reference.</w:t>
      </w:r>
    </w:p>
    <w:p>
      <w:pPr>
        <w:pStyle w:val="ListBullet"/>
        <w:spacing w:after="40"/>
        <w:ind w:left="288"/>
      </w:pPr>
      <w:r>
        <w:rPr>
          <w:color w:val="172033"/>
          <w:sz w:val="18"/>
        </w:rPr>
        <w:t>Status timestamps, assignment history and location breadcrumbs provide an auditable response trail.</w:t>
      </w:r>
    </w:p>
    <w:p>
      <w:pPr>
        <w:pStyle w:val="ListBullet"/>
        <w:spacing w:after="40"/>
        <w:ind w:left="288"/>
      </w:pPr>
      <w:r>
        <w:rPr>
          <w:color w:val="172033"/>
          <w:sz w:val="18"/>
        </w:rPr>
        <w:t>The dashboard may use a display-only fallback for limited team data if live retrieval is unavailable; this is not the operational source of truth.</w:t>
      </w:r>
    </w:p>
    <w:tbl>
      <w:tblPr>
        <w:tblW w:type="auto" w:w="0"/>
        <w:jc w:val="center"/>
        <w:tblLook w:firstColumn="1" w:firstRow="1" w:lastColumn="0" w:lastRow="0" w:noHBand="0" w:noVBand="1" w:val="04A0"/>
      </w:tblPr>
      <w:tblGrid>
        <w:gridCol w:w="10368"/>
      </w:tblGrid>
      <w:tr>
        <w:tc>
          <w:tcPr>
            <w:tcW w:type="dxa" w:w="10368"/>
            <w:shd w:fill="FDECEC"/>
            <w:tcMar>
              <w:top w:w="130" w:type="dxa"/>
              <w:start w:w="180" w:type="dxa"/>
              <w:bottom w:w="130" w:type="dxa"/>
              <w:end w:w="180" w:type="dxa"/>
            </w:tcMar>
            <w:tcBorders>
              <w:top w:val="single" w:sz="4" w:color="FDECEC"/>
              <w:bottom w:val="single" w:sz="4" w:color="FDECEC"/>
              <w:left w:val="single" w:sz="12" w:color="B91C1C"/>
              <w:right w:val="single" w:sz="4" w:color="FDECEC"/>
            </w:tcBorders>
          </w:tcPr>
          <w:p>
            <w:pPr>
              <w:spacing w:after="60"/>
            </w:pPr>
            <w:r>
              <w:rPr>
                <w:b/>
                <w:color w:val="B91C1C"/>
                <w:sz w:val="19"/>
              </w:rPr>
              <w:t>Governance note</w:t>
            </w:r>
          </w:p>
          <w:p>
            <w:pPr>
              <w:spacing w:after="0"/>
            </w:pPr>
            <w:r>
              <w:rPr>
                <w:color w:val="172033"/>
                <w:sz w:val="18"/>
              </w:rPr>
              <w:t>This management edition intentionally excludes credentials, private configuration values and detailed implementation listings. Those materials should be handled through the organization’s approved engineering and support controls.</w:t>
            </w:r>
          </w:p>
        </w:tc>
      </w:tr>
    </w:tbl>
    <w:p>
      <w:pPr>
        <w:spacing w:after="20"/>
      </w:pPr>
    </w:p>
    <w:p>
      <w:pPr>
        <w:pStyle w:val="Heading1"/>
        <w:keepNext/>
      </w:pPr>
      <w:r>
        <w:rPr>
          <w:color w:val="0B1F3A"/>
        </w:rPr>
        <w:t>10. Operational Verification Checklist</w:t>
      </w:r>
    </w:p>
    <w:tbl>
      <w:tblPr>
        <w:tblW w:type="auto" w:w="0"/>
        <w:jc w:val="center"/>
        <w:tblLook w:firstColumn="1" w:firstRow="1" w:lastColumn="0" w:lastRow="0" w:noHBand="0" w:noVBand="1" w:val="04A0"/>
      </w:tblPr>
      <w:tblGrid>
        <w:gridCol w:w="5184"/>
        <w:gridCol w:w="5184"/>
      </w:tblGrid>
      <w:tr>
        <w:tc>
          <w:tcPr>
            <w:tcW w:type="dxa" w:w="5184"/>
            <w:shd w:fill="174EA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color w:val="FFFFFF"/>
                <w:sz w:val="17"/>
              </w:rPr>
              <w:t>Check</w:t>
            </w:r>
          </w:p>
        </w:tc>
        <w:tc>
          <w:tcPr>
            <w:tcW w:type="dxa" w:w="5184"/>
            <w:shd w:fill="174EA6"/>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color w:val="FFFFFF"/>
                <w:sz w:val="17"/>
              </w:rPr>
              <w:t>Expected result</w:t>
            </w:r>
          </w:p>
        </w:tc>
      </w:tr>
      <w:tr>
        <w:tc>
          <w:tcPr>
            <w:tcW w:type="dxa" w:w="5184"/>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Platform availability</w:t>
            </w:r>
          </w:p>
        </w:tc>
        <w:tc>
          <w:tcPr>
            <w:tcW w:type="dxa" w:w="5184"/>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The API health check responds and the configured services are running.</w:t>
            </w:r>
          </w:p>
        </w:tc>
      </w:tr>
      <w:tr>
        <w:tc>
          <w:tcPr>
            <w:tcW w:type="dxa" w:w="5184"/>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User access</w:t>
            </w:r>
          </w:p>
        </w:tc>
        <w:tc>
          <w:tcPr>
            <w:tcW w:type="dxa" w:w="5184"/>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A technician or manager can sign in and receives the correct role experience.</w:t>
            </w:r>
          </w:p>
        </w:tc>
      </w:tr>
      <w:tr>
        <w:tc>
          <w:tcPr>
            <w:tcW w:type="dxa" w:w="5184"/>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Duty and location</w:t>
            </w:r>
          </w:p>
        </w:tc>
        <w:tc>
          <w:tcPr>
            <w:tcW w:type="dxa" w:w="5184"/>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Going on duty requests permission and the team position becomes visible.</w:t>
            </w:r>
          </w:p>
        </w:tc>
      </w:tr>
      <w:tr>
        <w:tc>
          <w:tcPr>
            <w:tcW w:type="dxa" w:w="5184"/>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Live operations</w:t>
            </w:r>
          </w:p>
        </w:tc>
        <w:tc>
          <w:tcPr>
            <w:tcW w:type="dxa" w:w="5184"/>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The dashboard receives current team positions and subsequent updates.</w:t>
            </w:r>
          </w:p>
        </w:tc>
      </w:tr>
      <w:tr>
        <w:tc>
          <w:tcPr>
            <w:tcW w:type="dxa" w:w="5184"/>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Fault intake</w:t>
            </w:r>
          </w:p>
        </w:tc>
        <w:tc>
          <w:tcPr>
            <w:tcW w:type="dxa" w:w="5184"/>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A test or synchronized fault appears with the correct site, severity and status.</w:t>
            </w:r>
          </w:p>
        </w:tc>
      </w:tr>
      <w:tr>
        <w:tc>
          <w:tcPr>
            <w:tcW w:type="dxa" w:w="5184"/>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Dispatch</w:t>
            </w:r>
          </w:p>
        </w:tc>
        <w:tc>
          <w:tcPr>
            <w:tcW w:type="dxa" w:w="5184"/>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The selected technician receives the assignment and notification.</w:t>
            </w:r>
          </w:p>
        </w:tc>
      </w:tr>
      <w:tr>
        <w:tc>
          <w:tcPr>
            <w:tcW w:type="dxa" w:w="5184"/>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Response tracking</w:t>
            </w:r>
          </w:p>
        </w:tc>
        <w:tc>
          <w:tcPr>
            <w:tcW w:type="dxa" w:w="5184"/>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Movement, route, ETA, SLA and arrival state update as expected.</w:t>
            </w:r>
          </w:p>
        </w:tc>
      </w:tr>
      <w:tr>
        <w:tc>
          <w:tcPr>
            <w:tcW w:type="dxa" w:w="5184"/>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Closure</w:t>
            </w:r>
          </w:p>
        </w:tc>
        <w:tc>
          <w:tcPr>
            <w:tcW w:type="dxa" w:w="5184"/>
            <w:shd w:fill="F8FAFC"/>
            <w:vAlign w:val="center"/>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
              <w:rPr>
                <w:b w:val="0"/>
                <w:color w:val="172033"/>
                <w:sz w:val="17"/>
              </w:rPr>
              <w:t>Resolution and closure are reflected in both the operational record and dashboard.</w:t>
            </w:r>
          </w:p>
        </w:tc>
      </w:tr>
    </w:tbl>
    <w:p>
      <w:pPr>
        <w:spacing w:after="40"/>
      </w:pPr>
    </w:p>
    <w:p>
      <w:pPr>
        <w:pStyle w:val="Heading1"/>
        <w:keepNext/>
      </w:pPr>
      <w:r>
        <w:rPr>
          <w:color w:val="0B1F3A"/>
        </w:rPr>
        <w:t>11. Operating Boundaries and Assumptions</w:t>
      </w:r>
    </w:p>
    <w:p>
      <w:pPr>
        <w:pStyle w:val="ListBullet"/>
        <w:spacing w:after="40"/>
        <w:ind w:left="288"/>
      </w:pPr>
      <w:r>
        <w:rPr>
          <w:color w:val="172033"/>
          <w:sz w:val="18"/>
        </w:rPr>
        <w:t>Live Power BI information depends on valid service permissions and the availability of the upstream reports.</w:t>
      </w:r>
    </w:p>
    <w:p>
      <w:pPr>
        <w:pStyle w:val="ListBullet"/>
        <w:spacing w:after="40"/>
        <w:ind w:left="288"/>
      </w:pPr>
      <w:r>
        <w:rPr>
          <w:color w:val="172033"/>
          <w:sz w:val="18"/>
        </w:rPr>
        <w:t>Live mapping and route estimates depend on approved map-service configuration and network availability.</w:t>
      </w:r>
    </w:p>
    <w:p>
      <w:pPr>
        <w:pStyle w:val="ListBullet"/>
        <w:spacing w:after="40"/>
        <w:ind w:left="288"/>
      </w:pPr>
      <w:r>
        <w:rPr>
          <w:color w:val="172033"/>
          <w:sz w:val="18"/>
        </w:rPr>
        <w:t>Background location behavior depends on device permissions, battery policy and operating-system rules.</w:t>
      </w:r>
    </w:p>
    <w:p>
      <w:pPr>
        <w:pStyle w:val="ListBullet"/>
        <w:spacing w:after="40"/>
        <w:ind w:left="288"/>
      </w:pPr>
      <w:r>
        <w:rPr>
          <w:color w:val="172033"/>
          <w:sz w:val="18"/>
        </w:rPr>
        <w:t>Notifications depend on registered devices, provider availability and current notification policy.</w:t>
      </w:r>
    </w:p>
    <w:p>
      <w:pPr>
        <w:pStyle w:val="ListBullet"/>
        <w:spacing w:after="40"/>
        <w:ind w:left="288"/>
      </w:pPr>
      <w:r>
        <w:rPr>
          <w:color w:val="172033"/>
          <w:sz w:val="18"/>
        </w:rPr>
        <w:t>The latest deployed environment should be verified before this document is used as a formal production runbook.</w:t>
      </w:r>
    </w:p>
    <w:p>
      <w:pPr>
        <w:pStyle w:val="Heading1"/>
        <w:keepNext/>
      </w:pPr>
      <w:r>
        <w:rPr>
          <w:color w:val="0B1F3A"/>
        </w:rPr>
        <w:t>12. Management Handover Summary</w:t>
      </w:r>
    </w:p>
    <w:p>
      <w:pPr>
        <w:spacing w:after="100" w:line="252" w:lineRule="auto"/>
      </w:pPr>
      <w:r>
        <w:rPr>
          <w:color w:val="172033"/>
          <w:sz w:val="19"/>
        </w:rPr>
        <w:t>The solution gives ACES field operations a connected workflow from incoming COW fault to verified field response. The mobile experience supports technicians and managers in the field; the dashboard gives control-room users the live operational picture; and the integration and data services coordinate identity, fault intake, dispatch, location, routing, notifications and history.</w:t>
      </w:r>
    </w:p>
    <w:p>
      <w:pPr>
        <w:spacing w:after="100" w:line="252" w:lineRule="auto"/>
      </w:pPr>
      <w:r>
        <w:rPr>
          <w:color w:val="172033"/>
          <w:sz w:val="19"/>
        </w:rPr>
        <w:t>The most important management outcome is traceability: teams can see what was received, who was assigned, whether the technician acknowledged and moved, when the site was reached, and when the fault was resolved.</w:t>
      </w:r>
    </w:p>
    <w:tbl>
      <w:tblPr>
        <w:tblW w:type="auto" w:w="0"/>
        <w:jc w:val="center"/>
        <w:tblLook w:firstColumn="1" w:firstRow="1" w:lastColumn="0" w:lastRow="0" w:noHBand="0" w:noVBand="1" w:val="04A0"/>
      </w:tblPr>
      <w:tblGrid>
        <w:gridCol w:w="10368"/>
      </w:tblGrid>
      <w:tr>
        <w:tc>
          <w:tcPr>
            <w:tcW w:type="dxa" w:w="10368"/>
            <w:shd w:fill="EAF2FF"/>
            <w:tcMar>
              <w:top w:w="130" w:type="dxa"/>
              <w:start w:w="180" w:type="dxa"/>
              <w:bottom w:w="130" w:type="dxa"/>
              <w:end w:w="180" w:type="dxa"/>
            </w:tcMar>
            <w:tcBorders>
              <w:top w:val="single" w:sz="4" w:color="EAF2FF"/>
              <w:bottom w:val="single" w:sz="4" w:color="EAF2FF"/>
              <w:left w:val="single" w:sz="12" w:color="174EA6"/>
              <w:right w:val="single" w:sz="4" w:color="EAF2FF"/>
            </w:tcBorders>
          </w:tcPr>
          <w:p>
            <w:pPr>
              <w:spacing w:after="60"/>
            </w:pPr>
            <w:r>
              <w:rPr>
                <w:b/>
                <w:color w:val="174EA6"/>
                <w:sz w:val="19"/>
              </w:rPr>
              <w:t>Document set</w:t>
            </w:r>
          </w:p>
          <w:p>
            <w:pPr>
              <w:spacing w:after="0"/>
            </w:pPr>
            <w:r>
              <w:rPr>
                <w:color w:val="172033"/>
                <w:sz w:val="18"/>
              </w:rPr>
              <w:t>This is the management-facing overview. The separate technical handover and full-code appendix remain available for engineering, support, audit and future maintenance.</w:t>
            </w:r>
          </w:p>
        </w:tc>
      </w:tr>
    </w:tbl>
    <w:p>
      <w:pPr>
        <w:spacing w:after="20"/>
      </w:pP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57A"/>
        <w:sz w:val="14"/>
      </w:rPr>
      <w:t>Management edition  |  Prepared from the current workspace snapshot</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2657A"/>
        <w:sz w:val="15"/>
      </w:rPr>
      <w:t>ACES FIELD OPERATIONS  |  MANAGEMENT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3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4EA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4EA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ACES Field Team Tracker and Fault Management — Management Overview</dc:title>
  <dc:subject>Management-facing operational overview</dc:subject>
  <dc:creator>ACES Field Operations</dc:creator>
  <cp:keywords/>
  <dc:description>Management edition; implementation details maintained separately.</dc:description>
  <cp:lastModifiedBy/>
  <cp:revision>1</cp:revision>
  <dcterms:created xsi:type="dcterms:W3CDTF">2013-12-23T23:15:00Z</dcterms:created>
  <dcterms:modified xsi:type="dcterms:W3CDTF">2013-12-23T23:15:00Z</dcterms:modified>
  <cp:category/>
</cp:coreProperties>
</file>