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9.png" ContentType="image/png"/>
  <Override PartName="/word/media/rId105.png" ContentType="image/png"/>
  <Override PartName="/word/media/rId110.png" ContentType="image/png"/>
  <Override PartName="/word/media/rId114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НПИбд-02-22</w:t>
      </w:r>
    </w:p>
    <w:p>
      <w:pPr>
        <w:pStyle w:val="Author"/>
      </w:pPr>
      <w:r>
        <w:t xml:space="preserve">Стариков</w:t>
      </w:r>
      <w:r>
        <w:t xml:space="preserve"> </w:t>
      </w:r>
      <w:r>
        <w:t xml:space="preserve">Данила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25" w:name="основная-часть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Основная часть</w:t>
      </w:r>
    </w:p>
    <w:bookmarkStart w:id="98" w:name="выполнение-лабораторной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Выполнение лабораторной работы</w:t>
      </w:r>
    </w:p>
    <w:bookmarkStart w:id="31" w:name="реализация-подпрограмм-в-nasm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выполнения лабораторной работы создали каталог ~/work/study/arch-pc/lab10. В нем создали файл lab10-1.asm и ввели текст из Листинга 1. Также положили в каталог файл in_out.asm, использованный в лабораторной работе №6.</w:t>
      </w:r>
    </w:p>
    <w:bookmarkStart w:id="21" w:name="lst:lst01"/>
    <w:p>
      <w:pPr>
        <w:pStyle w:val="Caption"/>
      </w:pPr>
      <w:r>
        <w:t xml:space="preserve">Листинг 1: . Пример программы с использованием вызова подпрограммы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'2x+7='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rez: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"2x+7"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_calcul: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</w:p>
    <w:bookmarkEnd w:id="21"/>
    <w:p>
      <w:pPr>
        <w:pStyle w:val="FirstParagraph"/>
      </w:pPr>
      <w:r>
        <w:t xml:space="preserve">Создали исполняемый файл и запустили его (Рис. 1).</w:t>
      </w:r>
    </w:p>
    <w:p>
      <w:pPr>
        <w:pStyle w:val="CaptionedFigure"/>
      </w:pPr>
      <w:bookmarkStart w:id="25" w:name="fig:fig01"/>
      <w:r>
        <w:drawing>
          <wp:inline>
            <wp:extent cx="5334000" cy="1282860"/>
            <wp:effectExtent b="0" l="0" r="0" t="0"/>
            <wp:docPr descr="Рис. 1: Результат запуска файла lab10-1." title="" id="23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Результат запуска файла lab10-1.</w:t>
      </w:r>
    </w:p>
    <w:p>
      <w:pPr>
        <w:pStyle w:val="BodyText"/>
      </w:pPr>
      <w:r>
        <w:t xml:space="preserve">Затем изменили текст программы, добавив еще одну подпрограмму</w:t>
      </w:r>
      <w:r>
        <w:t xml:space="preserve"> </w:t>
      </w:r>
      <w:r>
        <w:rPr>
          <w:rStyle w:val="VerbatimChar"/>
        </w:rPr>
        <w:t xml:space="preserve">_subcalcul</w:t>
      </w:r>
      <w:r>
        <w:t xml:space="preserve">, которая вычисляет значение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rPr>
            <m:sty m:val="p"/>
          </m:rPr>
          <m:t>*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, а в результате вычисляется значение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 </w:t>
      </w:r>
      <w:r>
        <w:t xml:space="preserve">и выводится на экран (Листинг 2).</w:t>
      </w:r>
    </w:p>
    <w:bookmarkStart w:id="26" w:name="lst:lst02"/>
    <w:p>
      <w:pPr>
        <w:pStyle w:val="Caption"/>
      </w:pPr>
      <w:r>
        <w:t xml:space="preserve">Листинг 2: Вычисление выражения f(g(x)) с использованием жвух подпрограмм.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'f(x)=2x+7, g(x)= 3x-1, f(g(x)) =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rez: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"f(g(x))"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_calcul: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 </w:t>
      </w:r>
      <w:r>
        <w:rPr>
          <w:rStyle w:val="CommentTok"/>
        </w:rPr>
        <w:t xml:space="preserve">; сначала вычисляем g(x)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"g(x)=3x-1"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_subcalcul: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</w:p>
    <w:bookmarkEnd w:id="26"/>
    <w:p>
      <w:pPr>
        <w:pStyle w:val="FirstParagraph"/>
      </w:pPr>
      <w:r>
        <w:t xml:space="preserve">Создали исполняемый файл и запустили его (Рис. 2).</w:t>
      </w:r>
    </w:p>
    <w:p>
      <w:pPr>
        <w:pStyle w:val="CaptionedFigure"/>
      </w:pPr>
      <w:bookmarkStart w:id="30" w:name="fig:fig02"/>
      <w:r>
        <w:drawing>
          <wp:inline>
            <wp:extent cx="5334000" cy="1201200"/>
            <wp:effectExtent b="0" l="0" r="0" t="0"/>
            <wp:docPr descr="Рис. 2: Вычсиление f(g(x))." title="" id="28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Вычсиление f(g(x)).</w:t>
      </w:r>
    </w:p>
    <w:bookmarkEnd w:id="31"/>
    <w:bookmarkStart w:id="97" w:name="отладка-программ-с-помощью-gdb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Создали файл lab10-2.asm и ввели текст из Листинга 3.</w:t>
      </w:r>
    </w:p>
    <w:bookmarkStart w:id="32" w:name="lst:lst03"/>
    <w:p>
      <w:pPr>
        <w:pStyle w:val="Caption"/>
      </w:pPr>
      <w:r>
        <w:t xml:space="preserve">Листинг 3: Программа вывода сообщения Hello world!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msg1Len:</w:t>
      </w:r>
      <w:r>
        <w:rPr>
          <w:rStyle w:val="NormalTok"/>
        </w:rPr>
        <w:t xml:space="preserve">   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msg1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"world!"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0xa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msg2Len:</w:t>
      </w:r>
      <w:r>
        <w:rPr>
          <w:rStyle w:val="NormalTok"/>
        </w:rPr>
        <w:t xml:space="preserve">   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msg2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msg1Len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msg2Len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</w:p>
    <w:bookmarkEnd w:id="32"/>
    <w:p>
      <w:pPr>
        <w:pStyle w:val="FirstParagraph"/>
      </w:pPr>
      <w:r>
        <w:t xml:space="preserve">Для работы с отладчиком GDB при трансляции исполняемого файла добавили ключ</w:t>
      </w:r>
      <w:r>
        <w:t xml:space="preserve"> </w:t>
      </w:r>
      <w:r>
        <w:rPr>
          <w:rStyle w:val="VerbatimChar"/>
        </w:rPr>
        <w:t xml:space="preserve">-g</w:t>
      </w:r>
      <w:r>
        <w:t xml:space="preserve"> </w:t>
      </w:r>
      <w:r>
        <w:t xml:space="preserve">(Рис. 3).</w:t>
      </w:r>
    </w:p>
    <w:p>
      <w:pPr>
        <w:pStyle w:val="CaptionedFigure"/>
      </w:pPr>
      <w:bookmarkStart w:id="36" w:name="fig:fig03"/>
      <w:r>
        <w:drawing>
          <wp:inline>
            <wp:extent cx="5334000" cy="394824"/>
            <wp:effectExtent b="0" l="0" r="0" t="0"/>
            <wp:docPr descr="Рис. 3: Компиляция файла lab10-2.asm" title="" id="34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0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3: Компиляция файла lab10-2.asm</w:t>
      </w:r>
    </w:p>
    <w:p>
      <w:pPr>
        <w:pStyle w:val="BodyText"/>
      </w:pPr>
      <w:r>
        <w:t xml:space="preserve">Загрузили исполняемый файл в отладчик GDB и проверили работы по команде</w:t>
      </w:r>
      <w:r>
        <w:t xml:space="preserve"> </w:t>
      </w:r>
      <w:r>
        <w:rPr>
          <w:rStyle w:val="VerbatimChar"/>
        </w:rPr>
        <w:t xml:space="preserve">run</w:t>
      </w:r>
      <w:r>
        <w:t xml:space="preserve"> </w:t>
      </w:r>
      <w:r>
        <w:t xml:space="preserve">(Рис. 4).</w:t>
      </w:r>
    </w:p>
    <w:p>
      <w:pPr>
        <w:pStyle w:val="CaptionedFigure"/>
      </w:pPr>
      <w:bookmarkStart w:id="40" w:name="fig:fig04"/>
      <w:r>
        <w:drawing>
          <wp:inline>
            <wp:extent cx="5334000" cy="548281"/>
            <wp:effectExtent b="0" l="0" r="0" t="0"/>
            <wp:docPr descr="Рис. 4: Обычный запуск программы." title="" id="38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0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Обычный запуск программы.</w:t>
      </w:r>
    </w:p>
    <w:p>
      <w:pPr>
        <w:pStyle w:val="BodyText"/>
      </w:pPr>
      <w:r>
        <w:t xml:space="preserve">Далее установили брейкпоинт на метку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, и еще раз запустили ее (Рис. 5).</w:t>
      </w:r>
    </w:p>
    <w:p>
      <w:pPr>
        <w:pStyle w:val="CaptionedFigure"/>
      </w:pPr>
      <w:bookmarkStart w:id="44" w:name="fig:fig05"/>
      <w:r>
        <w:drawing>
          <wp:inline>
            <wp:extent cx="5334000" cy="1489464"/>
            <wp:effectExtent b="0" l="0" r="0" t="0"/>
            <wp:docPr descr="Рис. 5: Установлен брейкпоинт." title="" id="42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0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5: Установлен брейкпоинт.</w:t>
      </w:r>
    </w:p>
    <w:p>
      <w:pPr>
        <w:pStyle w:val="BodyText"/>
      </w:pPr>
      <w:r>
        <w:t xml:space="preserve">Посмотрели дисассемблированный код программы в режиме AT&amp;T и Intel (Рис. 6 и 7). Основные различия синтаксисов: противоположное расположение операнда-источника и операнда-приемника (в Intel - приемник, источник, а в AT&amp;T - источник, приемник); в AT&amp;T регистры пишутся после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, а непосредственные операнды после</w:t>
      </w:r>
      <w:r>
        <w:t xml:space="preserve"> </w:t>
      </w:r>
      <w:r>
        <w:t xml:space="preserve">‘</w:t>
      </w:r>
      <w:r>
        <w:t xml:space="preserve">$</w:t>
      </w:r>
      <w:r>
        <w:t xml:space="preserve">’</w:t>
      </w:r>
      <w:r>
        <w:t xml:space="preserve">, в синтаксисе Intel операнды никак не помечаются.</w:t>
      </w:r>
    </w:p>
    <w:p>
      <w:pPr>
        <w:pStyle w:val="CaptionedFigure"/>
      </w:pPr>
      <w:bookmarkStart w:id="48" w:name="fig:fig06"/>
      <w:r>
        <w:drawing>
          <wp:inline>
            <wp:extent cx="5334000" cy="4446848"/>
            <wp:effectExtent b="0" l="0" r="0" t="0"/>
            <wp:docPr descr="Рис. 6: Дисассемблированный код программы в режиме ATT" title="" id="46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0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6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6: Дисассемблированный код программы в режиме ATT</w:t>
      </w:r>
    </w:p>
    <w:p>
      <w:pPr>
        <w:pStyle w:val="CaptionedFigure"/>
      </w:pPr>
      <w:bookmarkStart w:id="52" w:name="fig:fig07"/>
      <w:r>
        <w:drawing>
          <wp:inline>
            <wp:extent cx="5334000" cy="4836468"/>
            <wp:effectExtent b="0" l="0" r="0" t="0"/>
            <wp:docPr descr="Рис. 7: Дисассемблированный код программы в режиме Intel" title="" id="50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0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7: Дисассемблированный код программы в режиме Intel</w:t>
      </w:r>
    </w:p>
    <w:p>
      <w:pPr>
        <w:pStyle w:val="BodyText"/>
      </w:pPr>
      <w:r>
        <w:t xml:space="preserve">Включили режим псевдографики для более удобного анализа (Рис. 8).</w:t>
      </w:r>
    </w:p>
    <w:p>
      <w:pPr>
        <w:pStyle w:val="CaptionedFigure"/>
      </w:pPr>
      <w:bookmarkStart w:id="56" w:name="fig:fig08"/>
      <w:r>
        <w:drawing>
          <wp:inline>
            <wp:extent cx="5334000" cy="3837377"/>
            <wp:effectExtent b="0" l="0" r="0" t="0"/>
            <wp:docPr descr="Рис. 8: Режим псевдографики GDB." title="" id="54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0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8: Режим псевдографики GDB.</w:t>
      </w:r>
    </w:p>
    <w:p>
      <w:pPr>
        <w:pStyle w:val="BodyText"/>
      </w:pPr>
      <w:r>
        <w:t xml:space="preserve">Проверили установленные брейкпоинты по команде</w:t>
      </w:r>
      <w:r>
        <w:t xml:space="preserve"> </w:t>
      </w:r>
      <w:r>
        <w:rPr>
          <w:rStyle w:val="VerbatimChar"/>
        </w:rPr>
        <w:t xml:space="preserve">info breakpoints</w:t>
      </w:r>
      <w:r>
        <w:t xml:space="preserve"> </w:t>
      </w:r>
      <w:r>
        <w:t xml:space="preserve">(Рис. 9).</w:t>
      </w:r>
    </w:p>
    <w:p>
      <w:pPr>
        <w:pStyle w:val="CaptionedFigure"/>
      </w:pPr>
      <w:bookmarkStart w:id="60" w:name="fig:fig09"/>
      <w:r>
        <w:drawing>
          <wp:inline>
            <wp:extent cx="5334000" cy="2891969"/>
            <wp:effectExtent b="0" l="0" r="0" t="0"/>
            <wp:docPr descr="Рис. 9: Список установленных брейкпоинтов." title="" id="58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0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9: Список установленных брейкпоинтов.</w:t>
      </w:r>
    </w:p>
    <w:p>
      <w:pPr>
        <w:pStyle w:val="BodyText"/>
      </w:pPr>
      <w:r>
        <w:t xml:space="preserve">Добавили еще одну точку остановки по адресу инструкции</w:t>
      </w:r>
      <w:r>
        <w:t xml:space="preserve"> </w:t>
      </w:r>
      <w:r>
        <w:rPr>
          <w:rStyle w:val="VerbatimChar"/>
        </w:rPr>
        <w:t xml:space="preserve">mov ebx, 0x0</w:t>
      </w:r>
      <w:r>
        <w:t xml:space="preserve"> </w:t>
      </w:r>
      <w:r>
        <w:t xml:space="preserve">(Рис. 10).</w:t>
      </w:r>
    </w:p>
    <w:p>
      <w:pPr>
        <w:pStyle w:val="CaptionedFigure"/>
      </w:pPr>
      <w:bookmarkStart w:id="64" w:name="fig:fig10"/>
      <w:r>
        <w:drawing>
          <wp:inline>
            <wp:extent cx="5334000" cy="2957915"/>
            <wp:effectExtent b="0" l="0" r="0" t="0"/>
            <wp:docPr descr="Рис. 10: Добавление новой точки остановки." title="" id="62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Добавление новой точки остановки.</w:t>
      </w:r>
    </w:p>
    <w:p>
      <w:pPr>
        <w:pStyle w:val="BodyText"/>
      </w:pPr>
      <w:r>
        <w:t xml:space="preserve">С помощью инструкции</w:t>
      </w:r>
      <w:r>
        <w:t xml:space="preserve"> </w:t>
      </w:r>
      <w:r>
        <w:rPr>
          <w:rStyle w:val="VerbatimChar"/>
        </w:rPr>
        <w:t xml:space="preserve">stepi</w:t>
      </w:r>
      <w:r>
        <w:t xml:space="preserve"> </w:t>
      </w:r>
      <w:r>
        <w:t xml:space="preserve">(сокращенно</w:t>
      </w:r>
      <w:r>
        <w:t xml:space="preserve"> </w:t>
      </w:r>
      <w:r>
        <w:rPr>
          <w:rStyle w:val="VerbatimChar"/>
        </w:rPr>
        <w:t xml:space="preserve">si</w:t>
      </w:r>
      <w:r>
        <w:t xml:space="preserve">) выполнили 5 последующих инструкций. В результате изменяются значения регистров eax, ebx, ecx, edx (Рис. 11).</w:t>
      </w:r>
    </w:p>
    <w:p>
      <w:pPr>
        <w:pStyle w:val="CaptionedFigure"/>
      </w:pPr>
      <w:bookmarkStart w:id="68" w:name="fig:fig11"/>
      <w:r>
        <w:drawing>
          <wp:inline>
            <wp:extent cx="5334000" cy="2957915"/>
            <wp:effectExtent b="0" l="0" r="0" t="0"/>
            <wp:docPr descr="Рис. 11: Выполнение первых 5 инструкций." title="" id="66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Выполнение первых 5 инструкций.</w:t>
      </w:r>
    </w:p>
    <w:p>
      <w:pPr>
        <w:pStyle w:val="BodyText"/>
      </w:pPr>
      <w:r>
        <w:t xml:space="preserve">Посмотрели значения переменных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msg2</w:t>
      </w:r>
      <w:r>
        <w:t xml:space="preserve">, причем адрес памяти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задали по имени переменной, а адрес памяти</w:t>
      </w:r>
      <w:r>
        <w:t xml:space="preserve"> </w:t>
      </w:r>
      <w:r>
        <w:rPr>
          <w:rStyle w:val="VerbatimChar"/>
        </w:rPr>
        <w:t xml:space="preserve">msg2</w:t>
      </w:r>
      <w:r>
        <w:t xml:space="preserve"> </w:t>
      </w:r>
      <w:r>
        <w:t xml:space="preserve">вписали вручную, взяв его из дисассемблированного кода программы (Рис. 12).</w:t>
      </w:r>
    </w:p>
    <w:p>
      <w:pPr>
        <w:pStyle w:val="CaptionedFigure"/>
      </w:pPr>
      <w:bookmarkStart w:id="72" w:name="fig:fig12"/>
      <w:r>
        <w:drawing>
          <wp:inline>
            <wp:extent cx="5283200" cy="1651000"/>
            <wp:effectExtent b="0" l="0" r="0" t="0"/>
            <wp:docPr descr="Рис. 12: Вывод значения переменных msg1 и msg2." title="" id="70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Вывод значения переменных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msg2</w:t>
      </w:r>
      <w:r>
        <w:t xml:space="preserve">.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заменили в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первый символ, в переменной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 </w:t>
      </w:r>
      <w:r>
        <w:t xml:space="preserve">- второй (Рис. 13 и 14).</w:t>
      </w:r>
    </w:p>
    <w:p>
      <w:pPr>
        <w:pStyle w:val="CaptionedFigure"/>
      </w:pPr>
      <w:bookmarkStart w:id="76" w:name="fig:fig13"/>
      <w:r>
        <w:drawing>
          <wp:inline>
            <wp:extent cx="4737100" cy="1282700"/>
            <wp:effectExtent b="0" l="0" r="0" t="0"/>
            <wp:docPr descr="Рис. 13: Изменение значения переменной msg1." title="" id="74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Изменение значения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.</w:t>
      </w:r>
    </w:p>
    <w:p>
      <w:pPr>
        <w:pStyle w:val="CaptionedFigure"/>
      </w:pPr>
      <w:bookmarkStart w:id="80" w:name="fig:fig14"/>
      <w:r>
        <w:drawing>
          <wp:inline>
            <wp:extent cx="5054600" cy="1333500"/>
            <wp:effectExtent b="0" l="0" r="0" t="0"/>
            <wp:docPr descr="Рис. 14: Изменение значения переменной msg2." title="" id="78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Изменение значения переменной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.</w:t>
      </w:r>
    </w:p>
    <w:p>
      <w:pPr>
        <w:pStyle w:val="BodyText"/>
      </w:pPr>
      <w:r>
        <w:t xml:space="preserve">Вывели значения регистра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в десятичном, шестнадцатиричном и двоичном формате, соответственно (Рис. 15).</w:t>
      </w:r>
    </w:p>
    <w:p>
      <w:pPr>
        <w:pStyle w:val="CaptionedFigure"/>
      </w:pPr>
      <w:bookmarkStart w:id="84" w:name="fig:fig15"/>
      <w:r>
        <w:drawing>
          <wp:inline>
            <wp:extent cx="1917700" cy="2184400"/>
            <wp:effectExtent b="0" l="0" r="0" t="0"/>
            <wp:docPr descr="Рис. 15: Значение регистра edx." title="" id="82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Значение регистра</w:t>
      </w:r>
      <w:r>
        <w:t xml:space="preserve"> </w:t>
      </w:r>
      <w:r>
        <w:rPr>
          <w:rStyle w:val="VerbatimChar"/>
        </w:rPr>
        <w:t xml:space="preserve">edx</w:t>
      </w:r>
      <w:r>
        <w:t xml:space="preserve">.</w:t>
      </w:r>
    </w:p>
    <w:p>
      <w:pPr>
        <w:pStyle w:val="BodyText"/>
      </w:pPr>
      <w:r>
        <w:t xml:space="preserve">Использовав команду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изменили значение регистра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сначала на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а затем на число 2, и сравнили вывод значения регистра в десятичном формате. В результате присвоения регистра значение символа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выводится число 50, что соответствует символу в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в таблице ASCII (Рис. 16).</w:t>
      </w:r>
    </w:p>
    <w:p>
      <w:pPr>
        <w:pStyle w:val="CaptionedFigure"/>
      </w:pPr>
      <w:bookmarkStart w:id="88" w:name="fig:fig16"/>
      <w:r>
        <w:drawing>
          <wp:inline>
            <wp:extent cx="2768600" cy="2260600"/>
            <wp:effectExtent b="0" l="0" r="0" t="0"/>
            <wp:docPr descr="Рис. 16: Изменение значнения регистра ebx." title="" id="86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Изменение значнения регистра ebx.</w:t>
      </w:r>
    </w:p>
    <w:p>
      <w:pPr>
        <w:pStyle w:val="BodyText"/>
      </w:pPr>
      <w:r>
        <w:t xml:space="preserve">Затем завершили выполнение программы командой</w:t>
      </w:r>
      <w:r>
        <w:t xml:space="preserve"> </w:t>
      </w:r>
      <w:r>
        <w:rPr>
          <w:rStyle w:val="VerbatimChar"/>
        </w:rPr>
        <w:t xml:space="preserve">continue</w:t>
      </w:r>
      <w:r>
        <w:t xml:space="preserve"> </w:t>
      </w:r>
      <w:r>
        <w:t xml:space="preserve">(сокращенно</w:t>
      </w:r>
      <w:r>
        <w:t xml:space="preserve"> </w:t>
      </w:r>
      <w:r>
        <w:rPr>
          <w:rStyle w:val="VerbatimChar"/>
        </w:rPr>
        <w:t xml:space="preserve">c</w:t>
      </w:r>
      <w:r>
        <w:t xml:space="preserve">), и вышли из GDB по команде</w:t>
      </w:r>
      <w:r>
        <w:t xml:space="preserve"> </w:t>
      </w:r>
      <w:r>
        <w:rPr>
          <w:rStyle w:val="VerbatimChar"/>
        </w:rPr>
        <w:t xml:space="preserve">exit</w:t>
      </w:r>
      <w:r>
        <w:t xml:space="preserve">.</w:t>
      </w:r>
    </w:p>
    <w:p>
      <w:pPr>
        <w:pStyle w:val="BodyText"/>
      </w:pPr>
      <w:r>
        <w:t xml:space="preserve">Для примера обработки аргментов командоной строки в GDB скопировали файл lab9-2.asm из Лабораторной работы №9 (программа выводит на экран аргументы командной строки) в файл lab10-3.asm, создали исполняемый файл и запустили в GDB с ключом</w:t>
      </w:r>
      <w:r>
        <w:t xml:space="preserve"> </w:t>
      </w:r>
      <w:r>
        <w:rPr>
          <w:rStyle w:val="VerbatimChar"/>
        </w:rPr>
        <w:t xml:space="preserve">--args</w:t>
      </w:r>
      <w:r>
        <w:t xml:space="preserve"> </w:t>
      </w:r>
      <w:r>
        <w:t xml:space="preserve">(Рис. 17).</w:t>
      </w:r>
    </w:p>
    <w:p>
      <w:pPr>
        <w:pStyle w:val="CaptionedFigure"/>
      </w:pPr>
      <w:bookmarkStart w:id="92" w:name="fig:fig17"/>
      <w:r>
        <w:drawing>
          <wp:inline>
            <wp:extent cx="5334000" cy="651634"/>
            <wp:effectExtent b="0" l="0" r="0" t="0"/>
            <wp:docPr descr="Рис. 17: Загразка в GDB программы lab10-3 с аргументами." title="" id="90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Загразка в GDB программы lab10-3 с аргументами.</w:t>
      </w:r>
    </w:p>
    <w:p>
      <w:pPr>
        <w:pStyle w:val="BodyText"/>
      </w:pPr>
      <w:r>
        <w:t xml:space="preserve">Установили брейкпоинт в начале программы, посмотрели значение регистра esp, равное количеству аргументов командной строки, включая имя программы, и остальные позиции стека (Рис. 18). Каждый элемент стека занимает 4 байта, поэтому для получения следующего элемента стека мы добавляем 4 к адресу вершины.</w:t>
      </w:r>
    </w:p>
    <w:p>
      <w:pPr>
        <w:pStyle w:val="CaptionedFigure"/>
      </w:pPr>
      <w:bookmarkStart w:id="96" w:name="fig:fig19"/>
      <w:r>
        <w:drawing>
          <wp:inline>
            <wp:extent cx="5334000" cy="961269"/>
            <wp:effectExtent b="0" l="0" r="0" t="0"/>
            <wp:docPr descr="Рис. 18: Значения элементов стека." title="" id="94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Значения элементов стека.</w:t>
      </w:r>
    </w:p>
    <w:bookmarkEnd w:id="97"/>
    <w:bookmarkEnd w:id="98"/>
    <w:bookmarkStart w:id="124" w:name="Xb89792ebb9bd7a9aaf378e3541cc03e24d84206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Выполнение заданий для самостоятельной работы.</w:t>
      </w:r>
    </w:p>
    <w:bookmarkStart w:id="104" w:name="задание-1.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Задание 1.</w:t>
      </w:r>
    </w:p>
    <w:p>
      <w:pPr>
        <w:pStyle w:val="FirstParagraph"/>
      </w:pPr>
      <w:r>
        <w:t xml:space="preserve">Написали программу lab10-4.asm (Листинг 4), являющуюся измененной версией программы lab09-var12.asm, но вычисление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15</m:t>
        </m:r>
        <m:r>
          <m:rPr>
            <m:sty m:val="p"/>
          </m:rPr>
          <m:t>*</m:t>
        </m:r>
        <m:r>
          <m:t>x</m:t>
        </m:r>
        <m:r>
          <m:rPr>
            <m:sty m:val="p"/>
          </m:rPr>
          <m:t>−</m:t>
        </m:r>
        <m:r>
          <m:t>9</m:t>
        </m:r>
      </m:oMath>
      <w:r>
        <w:t xml:space="preserve"> </w:t>
      </w:r>
      <w:r>
        <w:t xml:space="preserve">реализовано как подпрограмма (Рис. 19).</w:t>
      </w:r>
    </w:p>
    <w:p>
      <w:pPr>
        <w:pStyle w:val="CaptionedFigure"/>
      </w:pPr>
      <w:bookmarkStart w:id="102" w:name="fig:fig20"/>
      <w:r>
        <w:drawing>
          <wp:inline>
            <wp:extent cx="5334000" cy="1169441"/>
            <wp:effectExtent b="0" l="0" r="0" t="0"/>
            <wp:docPr descr="Рис. 19: Результат работы программы lab10-4." title="" id="100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19: Результат работы программы lab10-4.</w:t>
      </w:r>
    </w:p>
    <w:bookmarkStart w:id="103" w:name="lst:lst04"/>
    <w:p>
      <w:pPr>
        <w:pStyle w:val="Caption"/>
      </w:pPr>
      <w:r>
        <w:t xml:space="preserve">Листинг 4: Программа находит сумму значений функции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f(x)=15*x-9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`esi` для хранения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промежуточных сумм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вызываем подпрограмму для вычисления f(x)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к промежуточной сумме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след. аргумент `esi=esi+eax`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сумму в регистр `eax`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  <w:r>
        <w:br/>
      </w:r>
      <w:r>
        <w:br/>
      </w:r>
      <w:r>
        <w:rPr>
          <w:rStyle w:val="FunctionTok"/>
        </w:rPr>
        <w:t xml:space="preserve">_calcul: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подпрограмма для вычисления f(x)=15*x-9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</w:p>
    <w:bookmarkEnd w:id="103"/>
    <w:bookmarkEnd w:id="104"/>
    <w:bookmarkStart w:id="123" w:name="задание-2.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Задание 2.</w:t>
      </w:r>
    </w:p>
    <w:p>
      <w:pPr>
        <w:pStyle w:val="FirstParagraph"/>
      </w:pPr>
      <w:r>
        <w:t xml:space="preserve">Создали программу lab10-5.asm по Листингу 5, вычисляющую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, но неверно (Рис. 20).</w:t>
      </w:r>
    </w:p>
    <w:p>
      <w:pPr>
        <w:pStyle w:val="CaptionedFigure"/>
      </w:pPr>
      <w:bookmarkStart w:id="108" w:name="fig:fig21"/>
      <w:r>
        <w:drawing>
          <wp:inline>
            <wp:extent cx="5334000" cy="901736"/>
            <wp:effectExtent b="0" l="0" r="0" t="0"/>
            <wp:docPr descr="Рис. 20: Результат работы программы lab10-5 (неверный ответ)." title="" id="106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20: Результат работы программы lab10-5 (неверный ответ).</w:t>
      </w:r>
    </w:p>
    <w:bookmarkStart w:id="109" w:name="lst:lst05"/>
    <w:p>
      <w:pPr>
        <w:pStyle w:val="Caption"/>
      </w:pPr>
      <w:r>
        <w:t xml:space="preserve">Листинг 5: Программа вычисления выражения (3+2)*4+5 (неверная).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09"/>
    <w:p>
      <w:pPr>
        <w:pStyle w:val="FirstParagraph"/>
      </w:pPr>
      <w:r>
        <w:t xml:space="preserve">Проанализировали с помощью отладичка GDB изменение значений регистров, чтобы найти ошибку. Установили брейкпоинт</w:t>
      </w:r>
      <w:r>
        <w:t xml:space="preserve"> </w:t>
      </w:r>
      <w:r>
        <w:rPr>
          <w:rStyle w:val="VerbatimChar"/>
        </w:rPr>
        <w:t xml:space="preserve">b _start</w:t>
      </w:r>
      <w:r>
        <w:t xml:space="preserve">, включили режим псевдографики и начали поочердно выполнять команды и следить за значениями регистров. Первая ошибка - результат</w:t>
      </w:r>
      <w:r>
        <w:t xml:space="preserve"> </w:t>
      </w:r>
      <m:oMath>
        <m:r>
          <m:t>3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записан в регистре ebx (команда</w:t>
      </w:r>
      <w:r>
        <w:t xml:space="preserve"> </w:t>
      </w:r>
      <w:r>
        <w:rPr>
          <w:rStyle w:val="VerbatimChar"/>
        </w:rPr>
        <w:t xml:space="preserve">add ebx, eax</w:t>
      </w:r>
      <w:r>
        <w:t xml:space="preserve">), но команда</w:t>
      </w:r>
      <w:r>
        <w:t xml:space="preserve"> </w:t>
      </w:r>
      <w:r>
        <w:rPr>
          <w:rStyle w:val="VerbatimChar"/>
        </w:rPr>
        <w:t xml:space="preserve">mul</w:t>
      </w:r>
      <w:r>
        <w:t xml:space="preserve"> </w:t>
      </w:r>
      <w:r>
        <w:t xml:space="preserve">всегда перемножает значение регистра eax с указанным сомножителем, поэтому</w:t>
      </w:r>
      <w:r>
        <w:t xml:space="preserve"> </w:t>
      </w:r>
      <w:r>
        <w:rPr>
          <w:rStyle w:val="VerbatimChar"/>
        </w:rPr>
        <w:t xml:space="preserve">mul ecx</w:t>
      </w:r>
      <w:r>
        <w:t xml:space="preserve"> </w:t>
      </w:r>
      <w:r>
        <w:t xml:space="preserve">дает неверный результат: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=</m:t>
        </m:r>
        <m:r>
          <m:t>5</m:t>
        </m:r>
      </m:oMath>
      <w:r>
        <w:t xml:space="preserve">. (Рис. 21). Затем на убеждении, что регистр ebx содержит корректный результат вычислений, к нему добавляется число 5, результат запоминается в регистре edi, а затем выводится (Рис. 22).</w:t>
      </w:r>
    </w:p>
    <w:p>
      <w:pPr>
        <w:pStyle w:val="CaptionedFigure"/>
      </w:pPr>
      <w:bookmarkStart w:id="113" w:name="fig:fig22"/>
      <w:r>
        <w:drawing>
          <wp:inline>
            <wp:extent cx="5334000" cy="2808697"/>
            <wp:effectExtent b="0" l="0" r="0" t="0"/>
            <wp:docPr descr="Рис. 21: Некорректное использование команды mul." title="" id="111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21: Некорректное использование команды mul.</w:t>
      </w:r>
    </w:p>
    <w:p>
      <w:pPr>
        <w:pStyle w:val="CaptionedFigure"/>
      </w:pPr>
      <w:bookmarkStart w:id="117" w:name="fig:fig23"/>
      <w:r>
        <w:drawing>
          <wp:inline>
            <wp:extent cx="5334000" cy="2808697"/>
            <wp:effectExtent b="0" l="0" r="0" t="0"/>
            <wp:docPr descr="Рис. 22: В регистре ebx содержится неверный ответ." title="" id="115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22: В регистре ebx содержится неверный ответ.</w:t>
      </w:r>
    </w:p>
    <w:p>
      <w:pPr>
        <w:pStyle w:val="BodyText"/>
      </w:pPr>
      <w:r>
        <w:t xml:space="preserve">Исправили текст программы (Листинг [-lst:lst06]) и убедились в верном вычислении резульата (Рис [-fig:fig24]).</w:t>
      </w:r>
    </w:p>
    <w:bookmarkStart w:id="118" w:name="lst:lst06"/>
    <w:p>
      <w:pPr>
        <w:pStyle w:val="Caption"/>
      </w:pPr>
      <w:r>
        <w:t xml:space="preserve">Листинг 6: Программа вычисления выражения (3+2)*4+5 (неверная).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18"/>
    <w:p>
      <w:pPr>
        <w:pStyle w:val="CaptionedFigure"/>
      </w:pPr>
      <w:bookmarkStart w:id="122" w:name="fig:fig24"/>
      <w:r>
        <w:drawing>
          <wp:inline>
            <wp:extent cx="5334000" cy="983190"/>
            <wp:effectExtent b="0" l="0" r="0" t="0"/>
            <wp:docPr descr="Рис. 23: Правильный результат вычисления выражения." title="" id="120" name="Picture"/>
            <a:graphic>
              <a:graphicData uri="http://schemas.openxmlformats.org/drawingml/2006/picture">
                <pic:pic>
                  <pic:nvPicPr>
                    <pic:cNvPr descr="/home/dastarikov/work/study/2022-2023/Архитектура%20компьютера/arch-pc/labs/lab10/report/image/image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3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23: Правильный результат вычисления выражения.</w:t>
      </w:r>
    </w:p>
    <w:p>
      <w:pPr>
        <w:pStyle w:val="BodyText"/>
      </w:pPr>
      <w:r>
        <w:t xml:space="preserve">Созданные файлы *.asm скопировали в каталог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/archpc/labs/lab10/ и загрузили на Github.</w:t>
      </w:r>
    </w:p>
    <w:bookmarkEnd w:id="123"/>
    <w:bookmarkEnd w:id="124"/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рамках лабораторной работы получили практические навыки использования подпрограмм и познакомились с методами отладки для более глубокого анализа работы программы.</w:t>
      </w:r>
    </w:p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9" Target="media/rId99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работа №10</dc:title>
  <dc:creator>Стариков Данила Андреевич</dc:creator>
  <dc:language>ru-RU</dc:language>
  <cp:keywords/>
  <dcterms:created xsi:type="dcterms:W3CDTF">2022-12-17T20:54:46Z</dcterms:created>
  <dcterms:modified xsi:type="dcterms:W3CDTF">2022-12-17T20:54:46Z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False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Группа НПИбд-02-22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