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части</w:t>
      </w:r>
      <w:r>
        <w:t xml:space="preserve"> </w:t>
      </w:r>
      <w:r>
        <w:t xml:space="preserve">“</w:t>
      </w: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  <w:r>
        <w:t xml:space="preserve">”</w:t>
      </w:r>
      <w:r>
        <w:t xml:space="preserve"> </w:t>
      </w:r>
      <w:r>
        <w:t xml:space="preserve">курса</w:t>
      </w:r>
      <w:r>
        <w:t xml:space="preserve"> </w:t>
      </w:r>
      <w:r>
        <w:t xml:space="preserve">“</w:t>
      </w:r>
      <w:r>
        <w:t xml:space="preserve">Основы</w:t>
      </w:r>
      <w:r>
        <w:t xml:space="preserve"> </w:t>
      </w:r>
      <w:r>
        <w:t xml:space="preserve">кибербезопасности</w:t>
      </w:r>
      <w:r>
        <w:t xml:space="preserve">”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со следующими понятиями:</w:t>
      </w:r>
      <w:r>
        <w:t xml:space="preserve"> </w:t>
      </w:r>
      <w:r>
        <w:t xml:space="preserve">- Электронная подпись</w:t>
      </w:r>
      <w:r>
        <w:t xml:space="preserve"> </w:t>
      </w:r>
      <w:r>
        <w:t xml:space="preserve">- Электронные платежи</w:t>
      </w:r>
      <w:r>
        <w:t xml:space="preserve"> </w:t>
      </w:r>
      <w:r>
        <w:t xml:space="preserve">- Блокчейн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numPr>
          <w:ilvl w:val="0"/>
          <w:numId w:val="1001"/>
        </w:numPr>
        <w:pStyle w:val="Compact"/>
      </w:pPr>
      <w:r>
        <w:t xml:space="preserve">Вопрос 1. В асимметричных криптографических примитивах(рис. 1):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обе стороны имеют пару ключей</w:t>
      </w:r>
      <w:r>
        <w:t xml:space="preserve">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Скриншот выполнения задания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Скриншот выполнения задания</w:t>
      </w:r>
    </w:p>
    <w:p>
      <w:pPr>
        <w:numPr>
          <w:ilvl w:val="0"/>
          <w:numId w:val="1002"/>
        </w:numPr>
        <w:pStyle w:val="Compact"/>
      </w:pPr>
      <w:r>
        <w:t xml:space="preserve">Вопрос 2. Криптографическая хэш-функция(рис. 2):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эффективно вычисляется, дает на выходе фиксированное число бит независимо от объема входных данных, стойкая к коллизиям</w:t>
      </w:r>
      <w:r>
        <w:t xml:space="preserve">.</w:t>
      </w:r>
    </w:p>
    <w:p>
      <w:pPr>
        <w:pStyle w:val="CaptionedFigure"/>
      </w:pPr>
      <w:r>
        <w:drawing>
          <wp:inline>
            <wp:extent cx="3733800" cy="2669472"/>
            <wp:effectExtent b="0" l="0" r="0" t="0"/>
            <wp:docPr descr="Скриншот выполнения задания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Скриншот выполнения задания</w:t>
      </w:r>
    </w:p>
    <w:p>
      <w:pPr>
        <w:numPr>
          <w:ilvl w:val="0"/>
          <w:numId w:val="1003"/>
        </w:numPr>
        <w:pStyle w:val="Compact"/>
      </w:pPr>
      <w:r>
        <w:t xml:space="preserve">Вопрос 3. К алгоритмам цифровой подписи относятся(рис. 3):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RSA, ECDSA, ГОСТ Р 34.10-2012</w:t>
      </w:r>
      <w:r>
        <w:rPr>
          <w:iCs/>
          <w:i/>
        </w:rP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2977190"/>
            <wp:effectExtent b="0" l="0" r="0" t="0"/>
            <wp:docPr descr="Скриншот выполнения задания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Скриншот выполнения задания</w:t>
      </w:r>
    </w:p>
    <w:p>
      <w:pPr>
        <w:numPr>
          <w:ilvl w:val="0"/>
          <w:numId w:val="1004"/>
        </w:numPr>
        <w:pStyle w:val="Compact"/>
      </w:pPr>
      <w:r>
        <w:t xml:space="preserve">Вопрос 4. Код аутентификации сообщения относится к(рис. 4):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симметричным примитивам</w:t>
      </w:r>
      <w:r>
        <w:t xml:space="preserve">.</w:t>
      </w:r>
    </w:p>
    <w:p>
      <w:pPr>
        <w:pStyle w:val="CaptionedFigure"/>
      </w:pPr>
      <w:r>
        <w:drawing>
          <wp:inline>
            <wp:extent cx="3733800" cy="3817143"/>
            <wp:effectExtent b="0" l="0" r="0" t="0"/>
            <wp:docPr descr="Скриншот выполнения задания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Скриншот выполнения задания</w:t>
      </w:r>
    </w:p>
    <w:p>
      <w:pPr>
        <w:numPr>
          <w:ilvl w:val="0"/>
          <w:numId w:val="1005"/>
        </w:numPr>
        <w:pStyle w:val="Compact"/>
      </w:pPr>
      <w:r>
        <w:t xml:space="preserve">Вопрос 5. Обмен ключам Диффи-Хэллмана - это(рис. 5):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асимметричный примитив генерации общего секретного ключа</w:t>
      </w:r>
      <w:r>
        <w:t xml:space="preserve">.</w:t>
      </w:r>
    </w:p>
    <w:p>
      <w:pPr>
        <w:pStyle w:val="CaptionedFigure"/>
      </w:pPr>
      <w:r>
        <w:drawing>
          <wp:inline>
            <wp:extent cx="3733800" cy="3219419"/>
            <wp:effectExtent b="0" l="0" r="0" t="0"/>
            <wp:docPr descr="Скриншот выполнения задания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Скриншот выполнения задания</w:t>
      </w:r>
    </w:p>
    <w:bookmarkEnd w:id="36"/>
    <w:bookmarkStart w:id="5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numPr>
          <w:ilvl w:val="0"/>
          <w:numId w:val="1006"/>
        </w:numPr>
        <w:pStyle w:val="Compact"/>
      </w:pPr>
      <w:r>
        <w:t xml:space="preserve">Вопрос 1. Протокол электронной цифровой подписи относится к(рис. 6):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протоколам с публичным (или открытым) ключом</w:t>
      </w:r>
      <w:r>
        <w:t xml:space="preserve">.</w:t>
      </w:r>
    </w:p>
    <w:p>
      <w:pPr>
        <w:pStyle w:val="CaptionedFigure"/>
      </w:pPr>
      <w:r>
        <w:drawing>
          <wp:inline>
            <wp:extent cx="3733800" cy="3474118"/>
            <wp:effectExtent b="0" l="0" r="0" t="0"/>
            <wp:docPr descr="Скриншот выполнения задания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Скриншот выполнения задания</w:t>
      </w:r>
    </w:p>
    <w:p>
      <w:pPr>
        <w:numPr>
          <w:ilvl w:val="0"/>
          <w:numId w:val="1007"/>
        </w:numPr>
        <w:pStyle w:val="Compact"/>
      </w:pPr>
      <w:r>
        <w:t xml:space="preserve">Вопрос 2. Алгоритм верификации электронной цифровой подписи требует на вход(рис. 7):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подпись, открытый ключ, сообщение</w:t>
      </w:r>
      <w:r>
        <w:t xml:space="preserve">.</w:t>
      </w:r>
    </w:p>
    <w:p>
      <w:pPr>
        <w:pStyle w:val="CaptionedFigure"/>
      </w:pPr>
      <w:r>
        <w:drawing>
          <wp:inline>
            <wp:extent cx="3733800" cy="2960370"/>
            <wp:effectExtent b="0" l="0" r="0" t="0"/>
            <wp:docPr descr="Скриншот выполнения задания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Скриншот выполнения задания</w:t>
      </w:r>
    </w:p>
    <w:p>
      <w:pPr>
        <w:numPr>
          <w:ilvl w:val="0"/>
          <w:numId w:val="1008"/>
        </w:numPr>
        <w:pStyle w:val="Compact"/>
      </w:pPr>
      <w:r>
        <w:t xml:space="preserve">Вопрос 3. Электронная цифровая подпись не обеспечивает(рис. 8):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конфиденциальность</w:t>
      </w:r>
      <w:r>
        <w:t xml:space="preserve">.</w:t>
      </w:r>
    </w:p>
    <w:p>
      <w:pPr>
        <w:pStyle w:val="CaptionedFigure"/>
      </w:pPr>
      <w:r>
        <w:drawing>
          <wp:inline>
            <wp:extent cx="3733800" cy="4041201"/>
            <wp:effectExtent b="0" l="0" r="0" t="0"/>
            <wp:docPr descr="Скриншот выполнения задания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Скриншот выполнения задания</w:t>
      </w:r>
    </w:p>
    <w:p>
      <w:pPr>
        <w:numPr>
          <w:ilvl w:val="0"/>
          <w:numId w:val="1009"/>
        </w:numPr>
        <w:pStyle w:val="Compact"/>
      </w:pPr>
      <w:r>
        <w:t xml:space="preserve">Вопрос 4. Какой тип сертификата электронной подписи понадобится для отправки налоговой отчетности в ФНС?(рис. 9):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усиленная квалифицированная</w:t>
      </w:r>
      <w:r>
        <w:t xml:space="preserve">.</w:t>
      </w:r>
    </w:p>
    <w:p>
      <w:pPr>
        <w:pStyle w:val="CaptionedFigure"/>
      </w:pPr>
      <w:r>
        <w:drawing>
          <wp:inline>
            <wp:extent cx="3733800" cy="1953241"/>
            <wp:effectExtent b="0" l="0" r="0" t="0"/>
            <wp:docPr descr="Скриншот выполнения задания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Скриншот выполнения задания</w:t>
      </w:r>
    </w:p>
    <w:p>
      <w:pPr>
        <w:numPr>
          <w:ilvl w:val="0"/>
          <w:numId w:val="1010"/>
        </w:numPr>
        <w:pStyle w:val="Compact"/>
      </w:pPr>
      <w:r>
        <w:t xml:space="preserve">Вопрос 5. В какой организации вы можете получить квалифицированный сертификат ключа проверки электронной подписи?(рис. 10):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в удостоверяющем (сертификационном) центре</w:t>
      </w:r>
      <w:r>
        <w:t xml:space="preserve">.</w:t>
      </w:r>
    </w:p>
    <w:p>
      <w:pPr>
        <w:pStyle w:val="CaptionedFigure"/>
      </w:pPr>
      <w:r>
        <w:drawing>
          <wp:inline>
            <wp:extent cx="3733800" cy="1895936"/>
            <wp:effectExtent b="0" l="0" r="0" t="0"/>
            <wp:docPr descr="Скриншот выполнения задания" title="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Скриншот выполнения задания</w:t>
      </w:r>
    </w:p>
    <w:bookmarkEnd w:id="52"/>
    <w:bookmarkStart w:id="62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numPr>
          <w:ilvl w:val="0"/>
          <w:numId w:val="1011"/>
        </w:numPr>
        <w:pStyle w:val="Compact"/>
      </w:pPr>
      <w:r>
        <w:t xml:space="preserve">Вопрос 1. Выберите из списка все платежные системы.(рис. 11):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MasterCard, МИР</w:t>
      </w:r>
      <w:r>
        <w:t xml:space="preserve">.</w:t>
      </w:r>
    </w:p>
    <w:p>
      <w:pPr>
        <w:pStyle w:val="CaptionedFigure"/>
      </w:pPr>
      <w:r>
        <w:drawing>
          <wp:inline>
            <wp:extent cx="3733800" cy="3117498"/>
            <wp:effectExtent b="0" l="0" r="0" t="0"/>
            <wp:docPr descr="Скриншот выполнения задания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Скриншот выполнения задания</w:t>
      </w:r>
    </w:p>
    <w:p>
      <w:pPr>
        <w:numPr>
          <w:ilvl w:val="0"/>
          <w:numId w:val="1012"/>
        </w:numPr>
        <w:pStyle w:val="Compact"/>
      </w:pPr>
      <w:r>
        <w:t xml:space="preserve">Вопрос 2. Примером многофакторной аутентификации является(рис. 12):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комбинация проверка пароля + код в sms сообщении, комбинация код в sms сообщении + отпечаток пальца</w:t>
      </w:r>
      <w:r>
        <w:rPr>
          <w:iCs/>
          <w:i/>
        </w:rP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2845227"/>
            <wp:effectExtent b="0" l="0" r="0" t="0"/>
            <wp:docPr descr="Скриншот выполнения задания" title="" id="57" name="Picture"/>
            <a:graphic>
              <a:graphicData uri="http://schemas.openxmlformats.org/drawingml/2006/picture">
                <pic:pic>
                  <pic:nvPicPr>
                    <pic:cNvPr descr="image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Скриншот выполнения задания</w:t>
      </w:r>
    </w:p>
    <w:p>
      <w:pPr>
        <w:numPr>
          <w:ilvl w:val="0"/>
          <w:numId w:val="1013"/>
        </w:numPr>
        <w:pStyle w:val="Compact"/>
      </w:pPr>
      <w:r>
        <w:t xml:space="preserve">Вопрос 3. При онлайн платежах сегодня используется(рис. 13):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многофакторная аутентификация покупателя перед банком-эмитентом</w:t>
      </w:r>
      <w:r>
        <w:t xml:space="preserve">.</w:t>
      </w:r>
    </w:p>
    <w:p>
      <w:pPr>
        <w:pStyle w:val="CaptionedFigure"/>
      </w:pPr>
      <w:r>
        <w:drawing>
          <wp:inline>
            <wp:extent cx="3733800" cy="2572277"/>
            <wp:effectExtent b="0" l="0" r="0" t="0"/>
            <wp:docPr descr="Скриншот выполнения задания" title="" id="60" name="Picture"/>
            <a:graphic>
              <a:graphicData uri="http://schemas.openxmlformats.org/drawingml/2006/picture">
                <pic:pic>
                  <pic:nvPicPr>
                    <pic:cNvPr descr="image/image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 выполнения задания</w:t>
      </w:r>
    </w:p>
    <w:bookmarkEnd w:id="62"/>
    <w:bookmarkStart w:id="72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numPr>
          <w:ilvl w:val="0"/>
          <w:numId w:val="1014"/>
        </w:numPr>
        <w:pStyle w:val="Compact"/>
      </w:pPr>
      <w:r>
        <w:t xml:space="preserve">Вопрос 1. Какое свойство криптографической хэш-функции используется в доказательстве работы?(рис. 14):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сложность нахождения прообраза</w:t>
      </w:r>
      <w:r>
        <w:t xml:space="preserve">.</w:t>
      </w:r>
    </w:p>
    <w:p>
      <w:pPr>
        <w:pStyle w:val="CaptionedFigure"/>
      </w:pPr>
      <w:r>
        <w:drawing>
          <wp:inline>
            <wp:extent cx="3733800" cy="2444021"/>
            <wp:effectExtent b="0" l="0" r="0" t="0"/>
            <wp:docPr descr="Скриншот выполнения задания" title="" id="64" name="Picture"/>
            <a:graphic>
              <a:graphicData uri="http://schemas.openxmlformats.org/drawingml/2006/picture">
                <pic:pic>
                  <pic:nvPicPr>
                    <pic:cNvPr descr="image/image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Скриншот выполнения задания</w:t>
      </w:r>
    </w:p>
    <w:p>
      <w:pPr>
        <w:numPr>
          <w:ilvl w:val="0"/>
          <w:numId w:val="1015"/>
        </w:numPr>
        <w:pStyle w:val="Compact"/>
      </w:pPr>
      <w:r>
        <w:t xml:space="preserve">Вопрос 2. Консенсус в некоторых системах блокчейн обладает свойствами(рис. 15):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постоянства, консенсус, живучесть, открытость</w:t>
      </w:r>
      <w:r>
        <w:t xml:space="preserve">.</w:t>
      </w:r>
    </w:p>
    <w:p>
      <w:pPr>
        <w:pStyle w:val="CaptionedFigure"/>
      </w:pPr>
      <w:r>
        <w:drawing>
          <wp:inline>
            <wp:extent cx="3733800" cy="2723016"/>
            <wp:effectExtent b="0" l="0" r="0" t="0"/>
            <wp:docPr descr="Скриншот выполнения задания" title="" id="67" name="Picture"/>
            <a:graphic>
              <a:graphicData uri="http://schemas.openxmlformats.org/drawingml/2006/picture">
                <pic:pic>
                  <pic:nvPicPr>
                    <pic:cNvPr descr="image/image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Скриншот выполнения задания</w:t>
      </w:r>
    </w:p>
    <w:p>
      <w:pPr>
        <w:numPr>
          <w:ilvl w:val="0"/>
          <w:numId w:val="1016"/>
        </w:numPr>
        <w:pStyle w:val="Compact"/>
      </w:pPr>
      <w:r>
        <w:t xml:space="preserve">Вопрос 3. Секретные ключи какого криптографического примитива хранят участники блокчейна?(рис. 16):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цифровая подпись</w:t>
      </w:r>
      <w:r>
        <w:t xml:space="preserve">.</w:t>
      </w:r>
    </w:p>
    <w:p>
      <w:pPr>
        <w:pStyle w:val="CaptionedFigure"/>
      </w:pPr>
      <w:r>
        <w:drawing>
          <wp:inline>
            <wp:extent cx="3733800" cy="2447958"/>
            <wp:effectExtent b="0" l="0" r="0" t="0"/>
            <wp:docPr descr="Скриншот выполнения задания" title="" id="70" name="Picture"/>
            <a:graphic>
              <a:graphicData uri="http://schemas.openxmlformats.org/drawingml/2006/picture">
                <pic:pic>
                  <pic:nvPicPr>
                    <pic:cNvPr descr="image/image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Скриншот выполнения задания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третьего модуля познакомились с основами криптографии: электронной подписью, электронными платежами, блокчейном.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части “Криптография на практике” курса “Основы кибербезопасности”</dc:title>
  <dc:creator>Стариков Данила Андреевич</dc:creator>
  <dc:language>ru-RU</dc:language>
  <cp:keywords/>
  <dcterms:created xsi:type="dcterms:W3CDTF">2024-05-15T14:01:43Z</dcterms:created>
  <dcterms:modified xsi:type="dcterms:W3CDTF">2024-05-15T14:01:43Z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depth">
    <vt:lpwstr>2</vt:lpwstr>
  </property>
  <property fmtid="{D5CDD505-2E9C-101B-9397-08002B2CF9AE}" pid="93" name="toc-title">
    <vt:lpwstr>Содержание</vt:lpwstr>
  </property>
</Properties>
</file>