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5.png" ContentType="image/png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Модель</w:t>
      </w:r>
      <w:r>
        <w:t xml:space="preserve"> </w:t>
      </w:r>
      <w:r>
        <w:t xml:space="preserve">эпидемии</w:t>
      </w:r>
    </w:p>
    <w:p>
      <w:pPr>
        <w:pStyle w:val="Author"/>
      </w:pPr>
      <w:r>
        <w:t xml:space="preserve">Данила</w:t>
      </w:r>
      <w:r>
        <w:t xml:space="preserve"> </w:t>
      </w:r>
      <w:r>
        <w:t xml:space="preserve">Андреевич</w:t>
      </w:r>
      <w:r>
        <w:t xml:space="preserve"> </w:t>
      </w:r>
      <w:r>
        <w:t xml:space="preserve">Стариков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Реализовать модель эпидемии в OpenModelica и Julia, построить графики зависимости числа особей из трех групп, рассмотреть 2 случая:</w:t>
      </w:r>
    </w:p>
    <w:p>
      <w:pPr>
        <w:numPr>
          <w:ilvl w:val="0"/>
          <w:numId w:val="1001"/>
        </w:numPr>
        <w:pStyle w:val="Compact"/>
      </w:pPr>
      <w:r>
        <w:t xml:space="preserve">если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numPr>
          <w:ilvl w:val="0"/>
          <w:numId w:val="1001"/>
        </w:numPr>
        <w:pStyle w:val="Compact"/>
      </w:pPr>
      <w:r>
        <w:t xml:space="preserve">если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Вариант 52.</w:t>
      </w:r>
    </w:p>
    <w:p>
      <w:pPr>
        <w:pStyle w:val="BodyText"/>
      </w:pPr>
      <w:r>
        <w:t xml:space="preserve">На одном острове вспыхнула эпидемия. Известно, что из всех проживающих</w:t>
      </w:r>
      <w:r>
        <w:t xml:space="preserve"> </w:t>
      </w:r>
      <w:r>
        <w:t xml:space="preserve">на острове (N=9654) в момент начала эпидемии (t=0) число заболевших людей</w:t>
      </w:r>
      <w:r>
        <w:t xml:space="preserve"> </w:t>
      </w:r>
      <w:r>
        <w:t xml:space="preserve">(являющихся распространителями инфекции) I(0)=100, А число здоровых людей с</w:t>
      </w:r>
      <w:r>
        <w:t xml:space="preserve"> </w:t>
      </w:r>
      <w:r>
        <w:t xml:space="preserve">иммунитетом к болезни R(0)=20. Таким образом, число людей восприимчивых к</w:t>
      </w:r>
      <w:r>
        <w:t xml:space="preserve"> </w:t>
      </w:r>
      <w:r>
        <w:t xml:space="preserve">болезни, но пока здоровых, в начальный момент времени S(0)=N-I(0)- R(0).</w:t>
      </w:r>
    </w:p>
    <w:p>
      <w:pPr>
        <w:pStyle w:val="BodyText"/>
      </w:pPr>
      <w:r>
        <w:t xml:space="preserve">Постройте графики изменения числа особей в каждой из трех групп.</w:t>
      </w:r>
    </w:p>
    <w:p>
      <w:pPr>
        <w:pStyle w:val="BodyText"/>
      </w:pPr>
      <w:r>
        <w:t xml:space="preserve">Рассмотрите, как будет протекать эпидемия в случае:</w:t>
      </w:r>
      <w:r>
        <w:t xml:space="preserve"> </w:t>
      </w:r>
      <w:r>
        <w:t xml:space="preserve">* если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* если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bookmarkEnd w:id="21"/>
    <w:bookmarkStart w:id="4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bookmarkStart w:id="30" w:name="моделирование-в-openmodelica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Моделирование в OpenModelica</w:t>
      </w:r>
    </w:p>
    <w:p>
      <w:pPr>
        <w:pStyle w:val="FirstParagraph"/>
      </w:pPr>
      <w:r>
        <w:t xml:space="preserve">Модель эпидемии в</w:t>
      </w:r>
      <w:r>
        <w:t xml:space="preserve"> </w:t>
      </w:r>
      <w:r>
        <w:rPr>
          <w:rStyle w:val="VerbatimChar"/>
        </w:rPr>
        <w:t xml:space="preserve">OpenModelica</w:t>
      </w:r>
      <w:r>
        <w:t xml:space="preserve"> </w:t>
      </w:r>
      <w:r>
        <w:t xml:space="preserve">реализована следующим образом:</w:t>
      </w:r>
    </w:p>
    <w:p>
      <w:pPr>
        <w:pStyle w:val="SourceCode"/>
      </w:pPr>
      <w:r>
        <w:rPr>
          <w:rStyle w:val="VerbatimChar"/>
        </w:rPr>
        <w:t xml:space="preserve">model lab06 // SIR</w:t>
      </w:r>
      <w:r>
        <w:br/>
      </w:r>
      <w:r>
        <w:rPr>
          <w:rStyle w:val="VerbatimChar"/>
        </w:rPr>
        <w:t xml:space="preserve">  parameter Real alpha=0.02;</w:t>
      </w:r>
      <w:r>
        <w:br/>
      </w:r>
      <w:r>
        <w:rPr>
          <w:rStyle w:val="VerbatimChar"/>
        </w:rPr>
        <w:t xml:space="preserve">  parameter Real beta=0.01;</w:t>
      </w:r>
      <w:r>
        <w:br/>
      </w:r>
      <w:r>
        <w:rPr>
          <w:rStyle w:val="VerbatimChar"/>
        </w:rPr>
        <w:t xml:space="preserve">  parameter Real I0=100;</w:t>
      </w:r>
      <w:r>
        <w:br/>
      </w:r>
      <w:r>
        <w:rPr>
          <w:rStyle w:val="VerbatimChar"/>
        </w:rPr>
        <w:t xml:space="preserve">  parameter Real R0=20;</w:t>
      </w:r>
      <w:r>
        <w:br/>
      </w:r>
      <w:r>
        <w:rPr>
          <w:rStyle w:val="VerbatimChar"/>
        </w:rPr>
        <w:t xml:space="preserve">  parameter Real S0=9654-I0-R0;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Real S(start=S0);</w:t>
      </w:r>
      <w:r>
        <w:br/>
      </w:r>
      <w:r>
        <w:rPr>
          <w:rStyle w:val="VerbatimChar"/>
        </w:rPr>
        <w:t xml:space="preserve">  Real I(start=I0);</w:t>
      </w:r>
      <w:r>
        <w:br/>
      </w:r>
      <w:r>
        <w:rPr>
          <w:rStyle w:val="VerbatimChar"/>
        </w:rPr>
        <w:t xml:space="preserve">  Real R(start=R0);</w:t>
      </w:r>
      <w:r>
        <w:br/>
      </w:r>
      <w:r>
        <w:rPr>
          <w:rStyle w:val="VerbatimChar"/>
        </w:rPr>
        <w:t xml:space="preserve">equation </w:t>
      </w:r>
      <w:r>
        <w:br/>
      </w:r>
      <w:r>
        <w:rPr>
          <w:rStyle w:val="VerbatimChar"/>
        </w:rPr>
        <w:t xml:space="preserve">  // случай I0 &gt; I*</w:t>
      </w:r>
      <w:r>
        <w:br/>
      </w:r>
      <w:r>
        <w:rPr>
          <w:rStyle w:val="VerbatimChar"/>
        </w:rPr>
        <w:t xml:space="preserve">  //der(S) = -alpha*S;</w:t>
      </w:r>
      <w:r>
        <w:br/>
      </w:r>
      <w:r>
        <w:rPr>
          <w:rStyle w:val="VerbatimChar"/>
        </w:rPr>
        <w:t xml:space="preserve">  //der(I) = alpha*S - beta*I;</w:t>
      </w:r>
      <w:r>
        <w:br/>
      </w:r>
      <w:r>
        <w:rPr>
          <w:rStyle w:val="VerbatimChar"/>
        </w:rPr>
        <w:t xml:space="preserve">  // случай I0 &lt;= I*</w:t>
      </w:r>
      <w:r>
        <w:br/>
      </w:r>
      <w:r>
        <w:rPr>
          <w:rStyle w:val="VerbatimChar"/>
        </w:rPr>
        <w:t xml:space="preserve">  der(S) = 0;</w:t>
      </w:r>
      <w:r>
        <w:br/>
      </w:r>
      <w:r>
        <w:rPr>
          <w:rStyle w:val="VerbatimChar"/>
        </w:rPr>
        <w:t xml:space="preserve">  der(I) = -beta*I;</w:t>
      </w:r>
      <w:r>
        <w:br/>
      </w:r>
      <w:r>
        <w:rPr>
          <w:rStyle w:val="VerbatimChar"/>
        </w:rPr>
        <w:t xml:space="preserve">  der(R) = beta*I;</w:t>
      </w:r>
      <w:r>
        <w:br/>
      </w:r>
      <w:r>
        <w:rPr>
          <w:rStyle w:val="VerbatimChar"/>
        </w:rPr>
        <w:t xml:space="preserve">annotation(</w:t>
      </w:r>
      <w:r>
        <w:br/>
      </w:r>
      <w:r>
        <w:rPr>
          <w:rStyle w:val="VerbatimChar"/>
        </w:rPr>
        <w:t xml:space="preserve">    experiment(StartTime = 0, StopTime = 700, Interval = 0.01));</w:t>
      </w:r>
      <w:r>
        <w:br/>
      </w:r>
      <w:r>
        <w:rPr>
          <w:rStyle w:val="VerbatimChar"/>
        </w:rPr>
        <w:t xml:space="preserve">end lab06;</w:t>
      </w:r>
    </w:p>
    <w:p>
      <w:pPr>
        <w:numPr>
          <w:ilvl w:val="0"/>
          <w:numId w:val="1002"/>
        </w:numPr>
        <w:pStyle w:val="Compact"/>
      </w:pPr>
      <w:r>
        <w:t xml:space="preserve">В случае, когда начальное число инфицированных больше критического значения (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), изменение числа особей выглядит следующим образом:</w:t>
      </w:r>
    </w:p>
    <w:p>
      <w:pPr>
        <w:pStyle w:val="CaptionedFigure"/>
      </w:pPr>
      <w:bookmarkStart w:id="25" w:name="fig:001"/>
      <w:r>
        <w:drawing>
          <wp:inline>
            <wp:extent cx="5334000" cy="2305127"/>
            <wp:effectExtent b="0" l="0" r="0" t="0"/>
            <wp:docPr descr="Рис. 1: Изменение численности особей в разных группах (случай I(0) &gt; I^*)" title="" id="23" name="Picture"/>
            <a:graphic>
              <a:graphicData uri="http://schemas.openxmlformats.org/drawingml/2006/picture">
                <pic:pic>
                  <pic:nvPicPr>
                    <pic:cNvPr descr="image/om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5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Изменение численности особей в разных группах (случай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В случае, когда начальное число инфицированных меньше или равно критическому значению (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), изменение числа особей выглядит следующим образом:</w:t>
      </w:r>
    </w:p>
    <w:p>
      <w:pPr>
        <w:pStyle w:val="CaptionedFigure"/>
      </w:pPr>
      <w:bookmarkStart w:id="29" w:name="fig:002"/>
      <w:r>
        <w:drawing>
          <wp:inline>
            <wp:extent cx="5334000" cy="2305127"/>
            <wp:effectExtent b="0" l="0" r="0" t="0"/>
            <wp:docPr descr="Рис. 2: Изменение численности особей в разных группах (случай I(0) \le I^*)" title="" id="27" name="Picture"/>
            <a:graphic>
              <a:graphicData uri="http://schemas.openxmlformats.org/drawingml/2006/picture">
                <pic:pic>
                  <pic:nvPicPr>
                    <pic:cNvPr descr="image/om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5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Изменение численности особей в разных группах (случай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</w:p>
    <w:bookmarkEnd w:id="30"/>
    <w:bookmarkStart w:id="39" w:name="моделирование-в-julia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Моделирование в Julia</w:t>
      </w:r>
    </w:p>
    <w:p>
      <w:pPr>
        <w:pStyle w:val="FirstParagraph"/>
      </w:pPr>
      <w:r>
        <w:t xml:space="preserve">Модель эпидемии в</w:t>
      </w:r>
      <w:r>
        <w:t xml:space="preserve"> </w:t>
      </w:r>
      <w:r>
        <w:rPr>
          <w:rStyle w:val="VerbatimChar"/>
        </w:rPr>
        <w:t xml:space="preserve">Julia</w:t>
      </w:r>
      <w:r>
        <w:t xml:space="preserve"> </w:t>
      </w:r>
      <w:r>
        <w:t xml:space="preserve">реализована следующим образом:</w:t>
      </w:r>
    </w:p>
    <w:p>
      <w:pPr>
        <w:pStyle w:val="SourceCode"/>
      </w:pPr>
    </w:p>
    <w:p>
      <w:pPr>
        <w:numPr>
          <w:ilvl w:val="0"/>
          <w:numId w:val="1004"/>
        </w:numPr>
        <w:pStyle w:val="Compact"/>
      </w:pPr>
      <w:r>
        <w:t xml:space="preserve">В случае, когда начальное число инфицированных больше критического значения (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), изменение числа особей выглядит следующим образом:</w:t>
      </w:r>
    </w:p>
    <w:p>
      <w:pPr>
        <w:pStyle w:val="CaptionedFigure"/>
      </w:pPr>
      <w:bookmarkStart w:id="34" w:name="fig:003"/>
      <w:r>
        <w:drawing>
          <wp:inline>
            <wp:extent cx="5334000" cy="3556000"/>
            <wp:effectExtent b="0" l="0" r="0" t="0"/>
            <wp:docPr descr="Рис. 3: Изменение численности особей в разных группах (случай I(0) &gt; I^*)" title="" id="32" name="Picture"/>
            <a:graphic>
              <a:graphicData uri="http://schemas.openxmlformats.org/drawingml/2006/picture">
                <pic:pic>
                  <pic:nvPicPr>
                    <pic:cNvPr descr="image/jl_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Изменение численности особей в разных группах (случай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В случае, когда начальное число инфицированных меньше или равно критическому значению (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), изменение числа особей выглядит следующим образом:</w:t>
      </w:r>
    </w:p>
    <w:p>
      <w:pPr>
        <w:pStyle w:val="CaptionedFigure"/>
      </w:pPr>
      <w:bookmarkStart w:id="38" w:name="fig:004"/>
      <w:r>
        <w:drawing>
          <wp:inline>
            <wp:extent cx="5334000" cy="3556000"/>
            <wp:effectExtent b="0" l="0" r="0" t="0"/>
            <wp:docPr descr="Рис. 4: Изменение численности особей в разных группах (случай I(0) \le I^*)" title="" id="36" name="Picture"/>
            <a:graphic>
              <a:graphicData uri="http://schemas.openxmlformats.org/drawingml/2006/picture">
                <pic:pic>
                  <pic:nvPicPr>
                    <pic:cNvPr descr="image/jl_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Изменение численности особей в разных группах (случай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</w:p>
    <w:bookmarkEnd w:id="39"/>
    <w:bookmarkEnd w:id="40"/>
    <w:bookmarkStart w:id="4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познакомились с моделью эпидемии (SIR) и на конкретном примере рассмотрели случаи, когда начальное число зараженных особей больше или меньше критического значения.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22" Target="media/rId22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№6</dc:title>
  <dc:creator>Данила Андреевич Стариков</dc:creator>
  <dc:language>ru-RU</dc:language>
  <cp:keywords/>
  <dcterms:created xsi:type="dcterms:W3CDTF">2025-05-03T18:34:40Z</dcterms:created>
  <dcterms:modified xsi:type="dcterms:W3CDTF">2025-05-03T18:34:40Z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Prefix">
    <vt:lpwstr/>
  </property>
  <property fmtid="{D5CDD505-2E9C-101B-9397-08002B2CF9AE}" pid="23" name="eqnPrefixTemplate">
    <vt:lpwstr>p i</vt:lpwstr>
  </property>
  <property fmtid="{D5CDD505-2E9C-101B-9397-08002B2CF9AE}" pid="24" name="equationNumberTeX">
    <vt:lpwstr>qquad</vt:lpwstr>
  </property>
  <property fmtid="{D5CDD505-2E9C-101B-9397-08002B2CF9AE}" pid="25" name="figLabels">
    <vt:lpwstr>arabic</vt:lpwstr>
  </property>
  <property fmtid="{D5CDD505-2E9C-101B-9397-08002B2CF9AE}" pid="26" name="figPrefix">
    <vt:lpwstr/>
  </property>
  <property fmtid="{D5CDD505-2E9C-101B-9397-08002B2CF9AE}" pid="27" name="figPrefixTemplate">
    <vt:lpwstr>p i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Рис.</vt:lpwstr>
  </property>
  <property fmtid="{D5CDD505-2E9C-101B-9397-08002B2CF9AE}" pid="30" name="fontsize">
    <vt:lpwstr>12pt</vt:lpwstr>
  </property>
  <property fmtid="{D5CDD505-2E9C-101B-9397-08002B2CF9AE}" pid="31" name="header-includes">
    <vt:lpwstr/>
  </property>
  <property fmtid="{D5CDD505-2E9C-101B-9397-08002B2CF9AE}" pid="32" name="indent">
    <vt:lpwstr>True</vt:lpwstr>
  </property>
  <property fmtid="{D5CDD505-2E9C-101B-9397-08002B2CF9AE}" pid="33" name="lastDelim">
    <vt:lpwstr>, </vt:lpwstr>
  </property>
  <property fmtid="{D5CDD505-2E9C-101B-9397-08002B2CF9AE}" pid="34" name="linestretch">
    <vt:lpwstr>1.5</vt:lpwstr>
  </property>
  <property fmtid="{D5CDD505-2E9C-101B-9397-08002B2CF9AE}" pid="35" name="linkReferences">
    <vt:lpwstr>False</vt:lpwstr>
  </property>
  <property fmtid="{D5CDD505-2E9C-101B-9397-08002B2CF9AE}" pid="36" name="listingTemplate">
    <vt:lpwstr>listingTitle ititleDelim t</vt:lpwstr>
  </property>
  <property fmtid="{D5CDD505-2E9C-101B-9397-08002B2CF9AE}" pid="37" name="listingTitle">
    <vt:lpwstr>Листинг</vt:lpwstr>
  </property>
  <property fmtid="{D5CDD505-2E9C-101B-9397-08002B2CF9AE}" pid="38" name="listings">
    <vt:lpwstr>False</vt:lpwstr>
  </property>
  <property fmtid="{D5CDD505-2E9C-101B-9397-08002B2CF9AE}" pid="39" name="lof">
    <vt:lpwstr>False</vt:lpwstr>
  </property>
  <property fmtid="{D5CDD505-2E9C-101B-9397-08002B2CF9AE}" pid="40" name="lofTitle">
    <vt:lpwstr>Список иллюстраций</vt:lpwstr>
  </property>
  <property fmtid="{D5CDD505-2E9C-101B-9397-08002B2CF9AE}" pid="41" name="lolTitle">
    <vt:lpwstr>Листинги</vt:lpwstr>
  </property>
  <property fmtid="{D5CDD505-2E9C-101B-9397-08002B2CF9AE}" pid="42" name="lot">
    <vt:lpwstr>False</vt:lpwstr>
  </property>
  <property fmtid="{D5CDD505-2E9C-101B-9397-08002B2CF9AE}" pid="43" name="lotTitle">
    <vt:lpwstr>Список таблиц</vt:lpwstr>
  </property>
  <property fmtid="{D5CDD505-2E9C-101B-9397-08002B2CF9AE}" pid="44" name="lstLabels">
    <vt:lpwstr>arabic</vt:lpwstr>
  </property>
  <property fmtid="{D5CDD505-2E9C-101B-9397-08002B2CF9AE}" pid="45" name="lstPrefix">
    <vt:lpwstr/>
  </property>
  <property fmtid="{D5CDD505-2E9C-101B-9397-08002B2CF9AE}" pid="46" name="lstPrefixTemplate">
    <vt:lpwstr>p i</vt:lpwstr>
  </property>
  <property fmtid="{D5CDD505-2E9C-101B-9397-08002B2CF9AE}" pid="47" name="mainfont">
    <vt:lpwstr>IBM Plex Serif</vt:lpwstr>
  </property>
  <property fmtid="{D5CDD505-2E9C-101B-9397-08002B2CF9AE}" pid="48" name="mainfontoptions">
    <vt:lpwstr>Ligatures=Common,Ligatures=TeX,Scale=0.94</vt:lpwstr>
  </property>
  <property fmtid="{D5CDD505-2E9C-101B-9397-08002B2CF9AE}" pid="49" name="mathfont">
    <vt:lpwstr>STIX Two Math</vt:lpwstr>
  </property>
  <property fmtid="{D5CDD505-2E9C-101B-9397-08002B2CF9AE}" pid="50" name="mathfontoptions">
    <vt:lpwstr/>
  </property>
  <property fmtid="{D5CDD505-2E9C-101B-9397-08002B2CF9AE}" pid="51" name="monofont">
    <vt:lpwstr>IBM Plex Mono</vt:lpwstr>
  </property>
  <property fmtid="{D5CDD505-2E9C-101B-9397-08002B2CF9AE}" pid="52" name="monofontoptions">
    <vt:lpwstr>Scale=MatchLowercase,Scale=0.94,FakeStretch=0.9</vt:lpwstr>
  </property>
  <property fmtid="{D5CDD505-2E9C-101B-9397-08002B2CF9AE}" pid="53" name="nameInLink">
    <vt:lpwstr>False</vt:lpwstr>
  </property>
  <property fmtid="{D5CDD505-2E9C-101B-9397-08002B2CF9AE}" pid="54" name="numberSections">
    <vt:lpwstr>False</vt:lpwstr>
  </property>
  <property fmtid="{D5CDD505-2E9C-101B-9397-08002B2CF9AE}" pid="55" name="pairDelim">
    <vt:lpwstr>, </vt:lpwstr>
  </property>
  <property fmtid="{D5CDD505-2E9C-101B-9397-08002B2CF9AE}" pid="56" name="papersize">
    <vt:lpwstr>a4</vt:lpwstr>
  </property>
  <property fmtid="{D5CDD505-2E9C-101B-9397-08002B2CF9AE}" pid="57" name="polyglossia-lang">
    <vt:lpwstr/>
  </property>
  <property fmtid="{D5CDD505-2E9C-101B-9397-08002B2CF9AE}" pid="58" name="polyglossia-otherlangs">
    <vt:lpwstr/>
  </property>
  <property fmtid="{D5CDD505-2E9C-101B-9397-08002B2CF9AE}" pid="59" name="rangeDelim">
    <vt:lpwstr>-</vt:lpwstr>
  </property>
  <property fmtid="{D5CDD505-2E9C-101B-9397-08002B2CF9AE}" pid="60" name="refDelim">
    <vt:lpwstr>, </vt:lpwstr>
  </property>
  <property fmtid="{D5CDD505-2E9C-101B-9397-08002B2CF9AE}" pid="61" name="refIndexTemplate">
    <vt:lpwstr>isuf</vt:lpwstr>
  </property>
  <property fmtid="{D5CDD505-2E9C-101B-9397-08002B2CF9AE}" pid="62" name="romanfont">
    <vt:lpwstr>IBM Plex Serif</vt:lpwstr>
  </property>
  <property fmtid="{D5CDD505-2E9C-101B-9397-08002B2CF9AE}" pid="63" name="romanfontoptions">
    <vt:lpwstr>Ligatures=Common,Ligatures=TeX,Scale=0.94</vt:lpwstr>
  </property>
  <property fmtid="{D5CDD505-2E9C-101B-9397-08002B2CF9AE}" pid="64" name="sansfont">
    <vt:lpwstr>IBM Plex Sans</vt:lpwstr>
  </property>
  <property fmtid="{D5CDD505-2E9C-101B-9397-08002B2CF9AE}" pid="65" name="sansfontoptions">
    <vt:lpwstr>Ligatures=Common,Ligatures=TeX,Scale=MatchLowercase,Scale=0.94</vt:lpwstr>
  </property>
  <property fmtid="{D5CDD505-2E9C-101B-9397-08002B2CF9AE}" pid="66" name="secHeaderDelim">
    <vt:lpwstr> </vt:lpwstr>
  </property>
  <property fmtid="{D5CDD505-2E9C-101B-9397-08002B2CF9AE}" pid="67" name="secHeaderTemplate">
    <vt:lpwstr>isecHeaderDelim[n]t</vt:lpwstr>
  </property>
  <property fmtid="{D5CDD505-2E9C-101B-9397-08002B2CF9AE}" pid="68" name="secLabels">
    <vt:lpwstr>arabic</vt:lpwstr>
  </property>
  <property fmtid="{D5CDD505-2E9C-101B-9397-08002B2CF9AE}" pid="69" name="secPrefix">
    <vt:lpwstr/>
  </property>
  <property fmtid="{D5CDD505-2E9C-101B-9397-08002B2CF9AE}" pid="70" name="secPrefixTemplate">
    <vt:lpwstr>p i</vt:lpwstr>
  </property>
  <property fmtid="{D5CDD505-2E9C-101B-9397-08002B2CF9AE}" pid="71" name="sectionsDepth">
    <vt:lpwstr>0</vt:lpwstr>
  </property>
  <property fmtid="{D5CDD505-2E9C-101B-9397-08002B2CF9AE}" pid="72" name="subfigGrid">
    <vt:lpwstr>False</vt:lpwstr>
  </property>
  <property fmtid="{D5CDD505-2E9C-101B-9397-08002B2CF9AE}" pid="73" name="subfigLabels">
    <vt:lpwstr>alpha a</vt:lpwstr>
  </property>
  <property fmtid="{D5CDD505-2E9C-101B-9397-08002B2CF9AE}" pid="74" name="subfigureChildTemplate">
    <vt:lpwstr>i</vt:lpwstr>
  </property>
  <property fmtid="{D5CDD505-2E9C-101B-9397-08002B2CF9AE}" pid="75" name="subfigureRefIndexTemplate">
    <vt:lpwstr>isuf (s)</vt:lpwstr>
  </property>
  <property fmtid="{D5CDD505-2E9C-101B-9397-08002B2CF9AE}" pid="76" name="subfigureTemplate">
    <vt:lpwstr>figureTitle ititleDelim t. ccs</vt:lpwstr>
  </property>
  <property fmtid="{D5CDD505-2E9C-101B-9397-08002B2CF9AE}" pid="77" name="subtitle">
    <vt:lpwstr>Модель эпидемии</vt:lpwstr>
  </property>
  <property fmtid="{D5CDD505-2E9C-101B-9397-08002B2CF9AE}" pid="78" name="tableEqns">
    <vt:lpwstr>False</vt:lpwstr>
  </property>
  <property fmtid="{D5CDD505-2E9C-101B-9397-08002B2CF9AE}" pid="79" name="tableTemplate">
    <vt:lpwstr>tableTitle ititleDelim t</vt:lpwstr>
  </property>
  <property fmtid="{D5CDD505-2E9C-101B-9397-08002B2CF9AE}" pid="80" name="tableTitle">
    <vt:lpwstr>Таблица</vt:lpwstr>
  </property>
  <property fmtid="{D5CDD505-2E9C-101B-9397-08002B2CF9AE}" pid="81" name="tblLabels">
    <vt:lpwstr>arabic</vt:lpwstr>
  </property>
  <property fmtid="{D5CDD505-2E9C-101B-9397-08002B2CF9AE}" pid="82" name="tblPrefix">
    <vt:lpwstr/>
  </property>
  <property fmtid="{D5CDD505-2E9C-101B-9397-08002B2CF9AE}" pid="83" name="tblPrefixTemplate">
    <vt:lpwstr>p i</vt:lpwstr>
  </property>
  <property fmtid="{D5CDD505-2E9C-101B-9397-08002B2CF9AE}" pid="84" name="titleDelim">
    <vt:lpwstr>:</vt:lpwstr>
  </property>
  <property fmtid="{D5CDD505-2E9C-101B-9397-08002B2CF9AE}" pid="85" name="toc">
    <vt:lpwstr>True</vt:lpwstr>
  </property>
  <property fmtid="{D5CDD505-2E9C-101B-9397-08002B2CF9AE}" pid="86" name="toc-depth">
    <vt:lpwstr>2</vt:lpwstr>
  </property>
  <property fmtid="{D5CDD505-2E9C-101B-9397-08002B2CF9AE}" pid="87" name="toc-title">
    <vt:lpwstr>Содержание</vt:lpwstr>
  </property>
</Properties>
</file>