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рекламной</w:t>
      </w:r>
      <w:r>
        <w:t xml:space="preserve"> </w:t>
      </w:r>
      <w:r>
        <w:t xml:space="preserve">кампании</w:t>
      </w:r>
    </w:p>
    <w:p>
      <w:pPr>
        <w:pStyle w:val="Author"/>
      </w:pPr>
      <w:r>
        <w:t xml:space="preserve">Данила</w:t>
      </w:r>
      <w:r>
        <w:t xml:space="preserve"> </w:t>
      </w:r>
      <w:r>
        <w:t xml:space="preserve">Андреевич</w:t>
      </w:r>
      <w:r>
        <w:t xml:space="preserve"> </w:t>
      </w:r>
      <w:r>
        <w:t xml:space="preserve">Стариков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рекламной кампании в OpenModelica и Julia, сравнить 3 случая:</w:t>
      </w:r>
    </w:p>
    <w:p>
      <w:pPr>
        <w:numPr>
          <w:ilvl w:val="0"/>
          <w:numId w:val="1001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α</m:t>
            </m:r>
          </m:e>
          <m:sub>
            <m:r>
              <m:t>2</m:t>
            </m:r>
          </m:sub>
        </m:sSub>
      </m:oMath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52.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</w:t>
      </w:r>
      <w:r>
        <w:t xml:space="preserve"> </w:t>
      </w:r>
      <w:r>
        <w:t xml:space="preserve">следующим уравнением:</w:t>
      </w:r>
    </w:p>
    <w:p>
      <w:pPr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0.62</m:t>
            </m:r>
            <m:r>
              <m:rPr>
                <m:sty m:val="p"/>
              </m:rPr>
              <m:t>+</m:t>
            </m:r>
            <m:r>
              <m:t>0.000023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0.000024</m:t>
            </m:r>
            <m:r>
              <m:rPr>
                <m:sty m:val="p"/>
              </m:rPr>
              <m:t>+</m:t>
            </m:r>
            <m:r>
              <m:t>0.4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0.5</m:t>
            </m:r>
            <m:r>
              <m:rPr>
                <m:sty m:val="p"/>
              </m:rPr>
              <m:t>+</m:t>
            </m:r>
            <m:r>
              <m:t>0.5</m:t>
            </m:r>
            <m:r>
              <m:t>t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1430</m:t>
        </m:r>
      </m:oMath>
      <w:r>
        <w:t xml:space="preserve">, в начальный момент о товаре знает 11 человек. Для</w:t>
      </w:r>
      <w:r>
        <w:t xml:space="preserve"> </w:t>
      </w:r>
      <w:r>
        <w:t xml:space="preserve">случая 2 определите в какой момент времени скорость распространения рекламы будет</w:t>
      </w:r>
      <w:r>
        <w:t xml:space="preserve"> </w:t>
      </w:r>
      <w:r>
        <w:t xml:space="preserve">иметь максимальное значение.</w:t>
      </w:r>
    </w:p>
    <w:bookmarkEnd w:id="21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моделирование-в-openmodelic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в OpenModelica</w:t>
      </w:r>
    </w:p>
    <w:p>
      <w:pPr>
        <w:pStyle w:val="FirstParagraph"/>
      </w:pPr>
      <w:r>
        <w:t xml:space="preserve">Модель рекламной кампании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  <w:r>
        <w:rPr>
          <w:rStyle w:val="VerbatimChar"/>
        </w:rPr>
        <w:t xml:space="preserve">model lab07 // Эффективность рекламы</w:t>
      </w:r>
      <w:r>
        <w:br/>
      </w:r>
      <w:r>
        <w:rPr>
          <w:rStyle w:val="VerbatimChar"/>
        </w:rPr>
        <w:t xml:space="preserve">  Real a1; // платная реклама</w:t>
      </w:r>
      <w:r>
        <w:br/>
      </w:r>
      <w:r>
        <w:rPr>
          <w:rStyle w:val="VerbatimChar"/>
        </w:rPr>
        <w:t xml:space="preserve">  Real a2; // сарафанное радио</w:t>
      </w:r>
      <w:r>
        <w:br/>
      </w:r>
      <w:r>
        <w:rPr>
          <w:rStyle w:val="VerbatimChar"/>
        </w:rPr>
        <w:t xml:space="preserve">  parameter Real N=1430.;</w:t>
      </w:r>
      <w:r>
        <w:br/>
      </w:r>
      <w:r>
        <w:rPr>
          <w:rStyle w:val="VerbatimChar"/>
        </w:rPr>
        <w:t xml:space="preserve">  parameter Real N0=2.;</w:t>
      </w:r>
      <w:r>
        <w:br/>
      </w:r>
      <w:r>
        <w:rPr>
          <w:rStyle w:val="VerbatimChar"/>
        </w:rPr>
        <w:t xml:space="preserve">  Real n(start=N0);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der(n) = (a1 + a2*n)*(N-n);</w:t>
      </w:r>
      <w:r>
        <w:br/>
      </w:r>
      <w:r>
        <w:rPr>
          <w:rStyle w:val="VerbatimChar"/>
        </w:rPr>
        <w:t xml:space="preserve">// уравнение 1</w:t>
      </w:r>
      <w:r>
        <w:br/>
      </w:r>
      <w:r>
        <w:rPr>
          <w:rStyle w:val="VerbatimChar"/>
        </w:rPr>
        <w:t xml:space="preserve">  a1 = 0.62;</w:t>
      </w:r>
      <w:r>
        <w:br/>
      </w:r>
      <w:r>
        <w:rPr>
          <w:rStyle w:val="VerbatimChar"/>
        </w:rPr>
        <w:t xml:space="preserve">  a2 = 0.000032;</w:t>
      </w:r>
      <w:r>
        <w:br/>
      </w:r>
      <w:r>
        <w:rPr>
          <w:rStyle w:val="VerbatimChar"/>
        </w:rPr>
        <w:t xml:space="preserve">// уравнение 2</w:t>
      </w:r>
      <w:r>
        <w:br/>
      </w:r>
      <w:r>
        <w:rPr>
          <w:rStyle w:val="VerbatimChar"/>
        </w:rPr>
        <w:t xml:space="preserve">//  a1 = 0.000024;</w:t>
      </w:r>
      <w:r>
        <w:br/>
      </w:r>
      <w:r>
        <w:rPr>
          <w:rStyle w:val="VerbatimChar"/>
        </w:rPr>
        <w:t xml:space="preserve">//  a2 = 0.4;</w:t>
      </w:r>
      <w:r>
        <w:br/>
      </w:r>
      <w:r>
        <w:rPr>
          <w:rStyle w:val="VerbatimChar"/>
        </w:rPr>
        <w:t xml:space="preserve">// уравнение 3</w:t>
      </w:r>
      <w:r>
        <w:br/>
      </w:r>
      <w:r>
        <w:rPr>
          <w:rStyle w:val="VerbatimChar"/>
        </w:rPr>
        <w:t xml:space="preserve">//  a1 = 0.5;</w:t>
      </w:r>
      <w:r>
        <w:br/>
      </w:r>
      <w:r>
        <w:rPr>
          <w:rStyle w:val="VerbatimChar"/>
        </w:rPr>
        <w:t xml:space="preserve">//  a2 = 0.5*time;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0.5, Interval=1e-4));</w:t>
      </w:r>
      <w:r>
        <w:br/>
      </w:r>
      <w:r>
        <w:rPr>
          <w:rStyle w:val="VerbatimChar"/>
        </w:rPr>
        <w:t xml:space="preserve">end lab07;</w:t>
      </w:r>
    </w:p>
    <w:p>
      <w:pPr>
        <w:pStyle w:val="CaptionedFigure"/>
      </w:pPr>
      <w:bookmarkStart w:id="25" w:name="fig:001"/>
      <w:r>
        <w:drawing>
          <wp:inline>
            <wp:extent cx="5334000" cy="2010849"/>
            <wp:effectExtent b="0" l="0" r="0" t="0"/>
            <wp:docPr descr="Рис. 1: График распространения информации о товаре с учетом платной рекламы и с учетом сарафанного радио (\alpha_1 \gg \alpha_2)." title="" id="23" name="Picture"/>
            <a:graphic>
              <a:graphicData uri="http://schemas.openxmlformats.org/drawingml/2006/picture">
                <pic:pic>
                  <pic:nvPicPr>
                    <pic:cNvPr descr="image/e1_om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График распространения информации о товаре с учетом платной рекламы и с учетом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bookmarkStart w:id="29" w:name="fig:002"/>
      <w:r>
        <w:drawing>
          <wp:inline>
            <wp:extent cx="5334000" cy="2010849"/>
            <wp:effectExtent b="0" l="0" r="0" t="0"/>
            <wp:docPr descr="Рис. 2: График распространения информации о товаре с учетом платной рекламы и с учетом сарафанного радио (\alpha_1 \ll \alpha_2)." title="" id="27" name="Picture"/>
            <a:graphic>
              <a:graphicData uri="http://schemas.openxmlformats.org/drawingml/2006/picture">
                <pic:pic>
                  <pic:nvPicPr>
                    <pic:cNvPr descr="image/e2_o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График распространения информации о товаре с учетом платной рекламы и с учетом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2010849"/>
            <wp:effectExtent b="0" l="0" r="0" t="0"/>
            <wp:docPr descr="Рис. 3: График распространения информации о товаре с учетом платной рекламы и с учетом сарафанного радио (\alpha_1 \approx \alpha_2)." title="" id="31" name="Picture"/>
            <a:graphic>
              <a:graphicData uri="http://schemas.openxmlformats.org/drawingml/2006/picture">
                <pic:pic>
                  <pic:nvPicPr>
                    <pic:cNvPr descr="image/e3_o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График распространения информации о товаре с учетом платной рекламы и с учетом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Для случая 2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0.0115</m:t>
        </m:r>
      </m:oMath>
      <w:r>
        <w:t xml:space="preserve"> </w:t>
      </w:r>
      <w:r>
        <w:t xml:space="preserve">скорость распространения рекламы была максимальна и равнялась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204487.39723129466</m:t>
        </m:r>
      </m:oMath>
    </w:p>
    <w:bookmarkEnd w:id="34"/>
    <w:bookmarkStart w:id="47" w:name="моделирование-в-juli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Моделирование в Julia</w:t>
      </w:r>
    </w:p>
    <w:p>
      <w:pPr>
        <w:pStyle w:val="FirstParagraph"/>
      </w:pPr>
      <w:r>
        <w:t xml:space="preserve">Модель эпидемии в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1430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dn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0.000032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[a1, a2]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уравнение 1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(model, u0, t,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"/home/dastarikov/work/study/2024-2025/study_2024-2025_mathmod/labs/lab7\</w:t>
      </w:r>
      <w:r>
        <w:br/>
      </w:r>
      <w:r>
        <w:rPr>
          <w:rStyle w:val="StringTok"/>
        </w:rPr>
        <w:t xml:space="preserve">/report/image/jl_1.png"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уравнение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(model, u0, t,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"/home/dastarikov/work/study/2024-2025/study_2024-2025_mathmod/labs/lab7\</w:t>
      </w:r>
      <w:r>
        <w:br/>
      </w:r>
      <w:r>
        <w:rPr>
          <w:rStyle w:val="StringTok"/>
        </w:rPr>
        <w:t xml:space="preserve">/report/image/jl_2.png"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уравнение 3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eq1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1430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dn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(model2, u0, t,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"/home/dastarikov/work/study/2024-2025/study_2024-2025_mathmod/labs/lab7\</w:t>
      </w:r>
      <w:r>
        <w:br/>
      </w:r>
      <w:r>
        <w:rPr>
          <w:rStyle w:val="StringTok"/>
        </w:rPr>
        <w:t xml:space="preserve">/report/image/jl_3.png"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38" w:name="fig:004"/>
      <w:r>
        <w:drawing>
          <wp:inline>
            <wp:extent cx="5334000" cy="3556000"/>
            <wp:effectExtent b="0" l="0" r="0" t="0"/>
            <wp:docPr descr="Рис. 4: График распространения информации о товаре с учетом платной рекламы и с учетом сарафанного радио (\alpha_1 \gg \alpha_2)." title="" id="36" name="Picture"/>
            <a:graphic>
              <a:graphicData uri="http://schemas.openxmlformats.org/drawingml/2006/picture">
                <pic:pic>
                  <pic:nvPicPr>
                    <pic:cNvPr descr="image/jl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График распространения информации о товаре с учетом платной рекламы и с учетом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bookmarkStart w:id="42" w:name="fig:005"/>
      <w:r>
        <w:drawing>
          <wp:inline>
            <wp:extent cx="5334000" cy="3556000"/>
            <wp:effectExtent b="0" l="0" r="0" t="0"/>
            <wp:docPr descr="Рис. 5: График распространения информации о товаре с учетом платной рекламы и с учетом сарафанного радио (\alpha_1 \gg \alpha_2)." title="" id="40" name="Picture"/>
            <a:graphic>
              <a:graphicData uri="http://schemas.openxmlformats.org/drawingml/2006/picture">
                <pic:pic>
                  <pic:nvPicPr>
                    <pic:cNvPr descr="image/jl_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График распространения информации о товаре с учетом платной рекламы и с учетом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bookmarkStart w:id="46" w:name="fig:006"/>
      <w:r>
        <w:drawing>
          <wp:inline>
            <wp:extent cx="5334000" cy="3556000"/>
            <wp:effectExtent b="0" l="0" r="0" t="0"/>
            <wp:docPr descr="Рис. 6: График распространения информации о товаре с учетом платной рекламы и с учетом сарафанного радио (\alpha_1 \gg \alpha_2)." title="" id="44" name="Picture"/>
            <a:graphic>
              <a:graphicData uri="http://schemas.openxmlformats.org/drawingml/2006/picture">
                <pic:pic>
                  <pic:nvPicPr>
                    <pic:cNvPr descr="image/jl_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График распространения информации о товаре с учетом платной рекламы и с учетом сарафанного радио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познакомились с моделью рекламной кампании и на конкретном примере рассмотрели влияние платной рекламы и сарафанное радио на распространение информации.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Данила Андреевич Стариков</dc:creator>
  <dc:language>ru-RU</dc:language>
  <cp:keywords/>
  <dcterms:created xsi:type="dcterms:W3CDTF">2025-05-17T18:13:22Z</dcterms:created>
  <dcterms:modified xsi:type="dcterms:W3CDTF">2025-05-17T18:13:22Z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False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IBM Plex Serif</vt:lpwstr>
  </property>
  <property fmtid="{D5CDD505-2E9C-101B-9397-08002B2CF9AE}" pid="48" name="mainfontoptions">
    <vt:lpwstr>Ligatures=Common,Ligatures=TeX,Scale=0.94</vt:lpwstr>
  </property>
  <property fmtid="{D5CDD505-2E9C-101B-9397-08002B2CF9AE}" pid="49" name="mathfont">
    <vt:lpwstr>STIX Two Math</vt:lpwstr>
  </property>
  <property fmtid="{D5CDD505-2E9C-101B-9397-08002B2CF9AE}" pid="50" name="mathfontoptions">
    <vt:lpwstr/>
  </property>
  <property fmtid="{D5CDD505-2E9C-101B-9397-08002B2CF9AE}" pid="51" name="monofont">
    <vt:lpwstr>IBM Plex Mono</vt:lpwstr>
  </property>
  <property fmtid="{D5CDD505-2E9C-101B-9397-08002B2CF9AE}" pid="52" name="monofontoptions">
    <vt:lpwstr>Scale=MatchLowercase,Scale=0.94,FakeStretch=0.9</vt:lpwstr>
  </property>
  <property fmtid="{D5CDD505-2E9C-101B-9397-08002B2CF9AE}" pid="53" name="nameInLink">
    <vt:lpwstr>False</vt:lpwstr>
  </property>
  <property fmtid="{D5CDD505-2E9C-101B-9397-08002B2CF9AE}" pid="54" name="numberSections">
    <vt:lpwstr>False</vt:lpwstr>
  </property>
  <property fmtid="{D5CDD505-2E9C-101B-9397-08002B2CF9AE}" pid="55" name="pairDelim">
    <vt:lpwstr>, </vt:lpwstr>
  </property>
  <property fmtid="{D5CDD505-2E9C-101B-9397-08002B2CF9AE}" pid="56" name="papersize">
    <vt:lpwstr>a4</vt:lpwstr>
  </property>
  <property fmtid="{D5CDD505-2E9C-101B-9397-08002B2CF9AE}" pid="57" name="polyglossia-lang">
    <vt:lpwstr/>
  </property>
  <property fmtid="{D5CDD505-2E9C-101B-9397-08002B2CF9AE}" pid="58" name="polyglossia-otherlangs">
    <vt:lpwstr/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IBM Plex Serif</vt:lpwstr>
  </property>
  <property fmtid="{D5CDD505-2E9C-101B-9397-08002B2CF9AE}" pid="63" name="romanfontoptions">
    <vt:lpwstr>Ligatures=Common,Ligatures=TeX,Scale=0.94</vt:lpwstr>
  </property>
  <property fmtid="{D5CDD505-2E9C-101B-9397-08002B2CF9AE}" pid="64" name="sansfont">
    <vt:lpwstr>IBM Plex Sans</vt:lpwstr>
  </property>
  <property fmtid="{D5CDD505-2E9C-101B-9397-08002B2CF9AE}" pid="65" name="sansfontoptions">
    <vt:lpwstr>Ligatures=Common,Ligatures=TeX,Scale=MatchLowercase,Scale=0.94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Модель рекламной кампании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