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Author"/>
      </w:pPr>
      <w:r>
        <w:t xml:space="preserve">Данила</w:t>
      </w:r>
      <w:r>
        <w:t xml:space="preserve"> </w:t>
      </w:r>
      <w:r>
        <w:t xml:space="preserve">Андреевич</w:t>
      </w:r>
      <w:r>
        <w:t xml:space="preserve"> </w:t>
      </w:r>
      <w:r>
        <w:t xml:space="preserve">Стариков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модель конкуренции двух фирм, производящих взаимозаменяемые товары</w:t>
      </w:r>
      <w:r>
        <w:t xml:space="preserve"> </w:t>
      </w:r>
      <w:r>
        <w:t xml:space="preserve">одинакового качества и находящихся в одной рыночной нише, и рассмотреть 2 случая:</w:t>
      </w:r>
    </w:p>
    <w:p>
      <w:pPr>
        <w:numPr>
          <w:ilvl w:val="0"/>
          <w:numId w:val="1001"/>
        </w:numPr>
        <w:pStyle w:val="Compact"/>
      </w:pPr>
      <w:r>
        <w:t xml:space="preserve">борьба ведется только рыночными методами</w:t>
      </w:r>
    </w:p>
    <w:p>
      <w:pPr>
        <w:numPr>
          <w:ilvl w:val="0"/>
          <w:numId w:val="1001"/>
        </w:numPr>
        <w:pStyle w:val="Compact"/>
      </w:pPr>
      <w:r>
        <w:t xml:space="preserve">помимо экономического фактора влияния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52.</w:t>
      </w:r>
    </w:p>
    <w:p>
      <w:pPr>
        <w:pStyle w:val="BodyText"/>
      </w:pPr>
      <w:r>
        <w:t xml:space="preserve">Для первого случая (только рыночная борьба) математическая модель конкуренции двух фирм выглядит следующим образом: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Sup>
          <m:e>
            <m:r>
              <m:t>M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</m:oMath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</m:oMath>
      <w:r>
        <w:t xml:space="preserve">,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Во втором случае (формирование общественного предпочтения) уравнения модифицируются: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t>0.00042</m:t>
            </m:r>
          </m:e>
        </m:d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Sup>
          <m:e>
            <m:r>
              <m:t>M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</m:oMath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.</m:t>
        </m:r>
      </m:oMath>
    </w:p>
    <w:p>
      <w:pPr>
        <w:pStyle w:val="BodyText"/>
      </w:pPr>
      <w:r>
        <w:t xml:space="preserve">Начальные условия:</w:t>
      </w:r>
      <w:r>
        <w:t xml:space="preserve"> </w:t>
      </w:r>
      <m:oMath>
        <m:sSubSup>
          <m:e>
            <m:r>
              <m:t>M</m:t>
            </m:r>
          </m:e>
          <m:sub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7.9</m:t>
        </m:r>
        <m:r>
          <m:rPr>
            <m:sty m:val="p"/>
          </m:rPr>
          <m:t>,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9.9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49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35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29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9.9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11.9</m:t>
        </m:r>
      </m:oMath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моделирование-в-openmodelic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в OpenModelica</w:t>
      </w:r>
    </w:p>
    <w:p>
      <w:pPr>
        <w:pStyle w:val="FirstParagraph"/>
      </w:pPr>
      <w:r>
        <w:t xml:space="preserve">Модель рекламной кампании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  <w:r>
        <w:rPr>
          <w:rStyle w:val="VerbatimChar"/>
        </w:rPr>
        <w:t xml:space="preserve">model lab08</w:t>
      </w:r>
      <w:r>
        <w:br/>
      </w:r>
      <w:r>
        <w:br/>
      </w:r>
      <w:r>
        <w:rPr>
          <w:rStyle w:val="VerbatimChar"/>
        </w:rPr>
        <w:t xml:space="preserve">parameter Real p_cr=49;</w:t>
      </w:r>
      <w:r>
        <w:br/>
      </w:r>
      <w:r>
        <w:rPr>
          <w:rStyle w:val="VerbatimChar"/>
        </w:rPr>
        <w:t xml:space="preserve">parameter Real p1=9.9;</w:t>
      </w:r>
      <w:r>
        <w:br/>
      </w:r>
      <w:r>
        <w:rPr>
          <w:rStyle w:val="VerbatimChar"/>
        </w:rPr>
        <w:t xml:space="preserve">parameter Real p2=11.9;</w:t>
      </w:r>
      <w:r>
        <w:br/>
      </w:r>
      <w:r>
        <w:rPr>
          <w:rStyle w:val="VerbatimChar"/>
        </w:rPr>
        <w:t xml:space="preserve">parameter Real tau1=35;</w:t>
      </w:r>
      <w:r>
        <w:br/>
      </w:r>
      <w:r>
        <w:rPr>
          <w:rStyle w:val="VerbatimChar"/>
        </w:rPr>
        <w:t xml:space="preserve">parameter Real tau2=29;</w:t>
      </w:r>
      <w:r>
        <w:br/>
      </w:r>
      <w:r>
        <w:rPr>
          <w:rStyle w:val="VerbatimChar"/>
        </w:rPr>
        <w:t xml:space="preserve">parameter Real N=50;</w:t>
      </w:r>
      <w:r>
        <w:br/>
      </w:r>
      <w:r>
        <w:rPr>
          <w:rStyle w:val="VerbatimChar"/>
        </w:rPr>
        <w:t xml:space="preserve">parameter Real q=1;</w:t>
      </w:r>
      <w:r>
        <w:br/>
      </w:r>
      <w:r>
        <w:br/>
      </w:r>
      <w:r>
        <w:br/>
      </w:r>
      <w:r>
        <w:rPr>
          <w:rStyle w:val="VerbatimChar"/>
        </w:rPr>
        <w:t xml:space="preserve">parameter Real a1=p_cr/(tau1*tau1*p1*p1*N*q);</w:t>
      </w:r>
      <w:r>
        <w:br/>
      </w:r>
      <w:r>
        <w:rPr>
          <w:rStyle w:val="VerbatimChar"/>
        </w:rPr>
        <w:t xml:space="preserve">parameter Real a2=p_cr/(tau2*tau2*p2*p2*N*q);</w:t>
      </w:r>
      <w:r>
        <w:br/>
      </w:r>
      <w:r>
        <w:rPr>
          <w:rStyle w:val="VerbatimChar"/>
        </w:rPr>
        <w:t xml:space="preserve">parameter Real b=p_cr/(tau1*tau1*p1*p1*tau2*tau2*p2*p2*N*q);</w:t>
      </w:r>
      <w:r>
        <w:br/>
      </w:r>
      <w:r>
        <w:rPr>
          <w:rStyle w:val="VerbatimChar"/>
        </w:rPr>
        <w:t xml:space="preserve">parameter Real c1=(p_cr-p1)/(tau1*p1);</w:t>
      </w:r>
      <w:r>
        <w:br/>
      </w:r>
      <w:r>
        <w:rPr>
          <w:rStyle w:val="VerbatimChar"/>
        </w:rPr>
        <w:t xml:space="preserve">parameter Real c2=(p_cr-p2)/(tau2*p2);</w:t>
      </w:r>
      <w:r>
        <w:br/>
      </w:r>
      <w:r>
        <w:br/>
      </w:r>
      <w:r>
        <w:rPr>
          <w:rStyle w:val="VerbatimChar"/>
        </w:rPr>
        <w:t xml:space="preserve">Real M1(start=7.9);</w:t>
      </w:r>
      <w:r>
        <w:br/>
      </w:r>
      <w:r>
        <w:rPr>
          <w:rStyle w:val="VerbatimChar"/>
        </w:rPr>
        <w:t xml:space="preserve">Real M2(start=9.9);</w:t>
      </w:r>
      <w:r>
        <w:br/>
      </w:r>
      <w:r>
        <w:br/>
      </w:r>
      <w:r>
        <w:rPr>
          <w:rStyle w:val="VerbatimChar"/>
        </w:rPr>
        <w:t xml:space="preserve">//parameter Real eps=0; // случай 1</w:t>
      </w:r>
      <w:r>
        <w:br/>
      </w:r>
      <w:r>
        <w:rPr>
          <w:rStyle w:val="VerbatimChar"/>
        </w:rPr>
        <w:t xml:space="preserve">parameter Real eps=0.00042; // случай 2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der(M1) = M1 - (b/c1+eps)*M1*M2 - a1/c1*M1*M1;</w:t>
      </w:r>
      <w:r>
        <w:br/>
      </w:r>
      <w:r>
        <w:rPr>
          <w:rStyle w:val="VerbatimChar"/>
        </w:rPr>
        <w:t xml:space="preserve">der(M2) = c2/c1*M2 - b/c1*M1*M2 - a2/c1*M2*M2;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15));</w:t>
      </w:r>
      <w:r>
        <w:br/>
      </w:r>
      <w:r>
        <w:rPr>
          <w:rStyle w:val="VerbatimChar"/>
        </w:rPr>
        <w:t xml:space="preserve">end lab08;</w:t>
      </w:r>
    </w:p>
    <w:p>
      <w:pPr>
        <w:pStyle w:val="CaptionedFigure"/>
      </w:pPr>
      <w:bookmarkStart w:id="25" w:name="fig:001"/>
      <w:r>
        <w:drawing>
          <wp:inline>
            <wp:extent cx="5334000" cy="2625000"/>
            <wp:effectExtent b="0" l="0" r="0" t="0"/>
            <wp:docPr descr="Рис. 1: График изменения оборотных средств фирмы 1 и фирмы 2. Случай 1" title="" id="23" name="Picture"/>
            <a:graphic>
              <a:graphicData uri="http://schemas.openxmlformats.org/drawingml/2006/picture">
                <pic:pic>
                  <pic:nvPicPr>
                    <pic:cNvPr descr="image/cas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График изменения оборотных средств фирмы 1 и фирмы 2. Случай 1</w:t>
      </w:r>
    </w:p>
    <w:p>
      <w:pPr>
        <w:pStyle w:val="CaptionedFigure"/>
      </w:pPr>
      <w:bookmarkStart w:id="29" w:name="fig:002"/>
      <w:r>
        <w:drawing>
          <wp:inline>
            <wp:extent cx="5334000" cy="2625000"/>
            <wp:effectExtent b="0" l="0" r="0" t="0"/>
            <wp:docPr descr="Рис. 2: График изменения оборотных средств фирмы 1 и фирмы 2. Случай 2" title="" id="27" name="Picture"/>
            <a:graphic>
              <a:graphicData uri="http://schemas.openxmlformats.org/drawingml/2006/picture">
                <pic:pic>
                  <pic:nvPicPr>
                    <pic:cNvPr descr="image/cas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График изменения оборотных средств фирмы 1 и фирмы 2. Случай 2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познакомились с моделью конкуренции двух фирм и на конкретном примере рассмотрели влияние общественного предпочтения на оборот компании.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Данила Андреевич Стариков</dc:creator>
  <dc:language>ru-RU</dc:language>
  <cp:keywords/>
  <dcterms:created xsi:type="dcterms:W3CDTF">2025-05-31T18:55:08Z</dcterms:created>
  <dcterms:modified xsi:type="dcterms:W3CDTF">2025-05-31T18:55:08Z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False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IBM Plex Serif</vt:lpwstr>
  </property>
  <property fmtid="{D5CDD505-2E9C-101B-9397-08002B2CF9AE}" pid="48" name="mainfontoptions">
    <vt:lpwstr>Ligatures=Common,Ligatures=TeX,Scale=0.94</vt:lpwstr>
  </property>
  <property fmtid="{D5CDD505-2E9C-101B-9397-08002B2CF9AE}" pid="49" name="mathfont">
    <vt:lpwstr>STIX Two Math</vt:lpwstr>
  </property>
  <property fmtid="{D5CDD505-2E9C-101B-9397-08002B2CF9AE}" pid="50" name="mathfontoptions">
    <vt:lpwstr/>
  </property>
  <property fmtid="{D5CDD505-2E9C-101B-9397-08002B2CF9AE}" pid="51" name="monofont">
    <vt:lpwstr>IBM Plex Mono</vt:lpwstr>
  </property>
  <property fmtid="{D5CDD505-2E9C-101B-9397-08002B2CF9AE}" pid="52" name="monofontoptions">
    <vt:lpwstr>Scale=MatchLowercase,Scale=0.94,FakeStretch=0.9</vt:lpwstr>
  </property>
  <property fmtid="{D5CDD505-2E9C-101B-9397-08002B2CF9AE}" pid="53" name="nameInLink">
    <vt:lpwstr>False</vt:lpwstr>
  </property>
  <property fmtid="{D5CDD505-2E9C-101B-9397-08002B2CF9AE}" pid="54" name="numberSections">
    <vt:lpwstr>False</vt:lpwstr>
  </property>
  <property fmtid="{D5CDD505-2E9C-101B-9397-08002B2CF9AE}" pid="55" name="pairDelim">
    <vt:lpwstr>, </vt:lpwstr>
  </property>
  <property fmtid="{D5CDD505-2E9C-101B-9397-08002B2CF9AE}" pid="56" name="papersize">
    <vt:lpwstr>a4</vt:lpwstr>
  </property>
  <property fmtid="{D5CDD505-2E9C-101B-9397-08002B2CF9AE}" pid="57" name="polyglossia-lang">
    <vt:lpwstr/>
  </property>
  <property fmtid="{D5CDD505-2E9C-101B-9397-08002B2CF9AE}" pid="58" name="polyglossia-otherlangs">
    <vt:lpwstr/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IBM Plex Serif</vt:lpwstr>
  </property>
  <property fmtid="{D5CDD505-2E9C-101B-9397-08002B2CF9AE}" pid="63" name="romanfontoptions">
    <vt:lpwstr>Ligatures=Common,Ligatures=TeX,Scale=0.94</vt:lpwstr>
  </property>
  <property fmtid="{D5CDD505-2E9C-101B-9397-08002B2CF9AE}" pid="64" name="sansfont">
    <vt:lpwstr>IBM Plex Sans</vt:lpwstr>
  </property>
  <property fmtid="{D5CDD505-2E9C-101B-9397-08002B2CF9AE}" pid="65" name="sansfontoptions">
    <vt:lpwstr>Ligatures=Common,Ligatures=TeX,Scale=MatchLowercase,Scale=0.94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Модель конкуренции двух фирм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