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0847" w14:textId="2854E59E" w:rsidR="003926C0" w:rsidRDefault="00FA5364" w:rsidP="00346407">
      <w:pPr>
        <w:pStyle w:val="Title"/>
        <w:ind w:left="-630"/>
        <w:rPr>
          <w:sz w:val="40"/>
          <w:szCs w:val="40"/>
        </w:rPr>
      </w:pPr>
      <w:r>
        <w:rPr>
          <w:sz w:val="40"/>
          <w:szCs w:val="40"/>
        </w:rPr>
        <w:t>Address Change</w:t>
      </w:r>
      <w:r w:rsidR="007C5CA5" w:rsidRPr="00346407">
        <w:rPr>
          <w:sz w:val="40"/>
          <w:szCs w:val="40"/>
        </w:rPr>
        <w:t xml:space="preserve"> Config</w:t>
      </w:r>
      <w:r w:rsidR="00BC4843">
        <w:rPr>
          <w:sz w:val="40"/>
          <w:szCs w:val="40"/>
        </w:rPr>
        <w:t>uration</w:t>
      </w:r>
      <w:r w:rsidR="007C5CA5" w:rsidRPr="00346407">
        <w:rPr>
          <w:sz w:val="40"/>
          <w:szCs w:val="40"/>
        </w:rPr>
        <w:t xml:space="preserve"> Worksheet</w:t>
      </w:r>
    </w:p>
    <w:p w14:paraId="1F6DF8C8" w14:textId="0A7ED2F3" w:rsidR="00492982" w:rsidRPr="00414B11" w:rsidRDefault="00B41785" w:rsidP="00346407">
      <w:pPr>
        <w:pStyle w:val="Title"/>
        <w:ind w:left="-630"/>
        <w:rPr>
          <w:sz w:val="24"/>
          <w:szCs w:val="24"/>
        </w:rPr>
      </w:pPr>
      <w:r w:rsidRPr="00414B11">
        <w:rPr>
          <w:sz w:val="24"/>
          <w:szCs w:val="24"/>
        </w:rPr>
        <w:t>Refer</w:t>
      </w:r>
      <w:r w:rsidR="00E11650" w:rsidRPr="00414B11">
        <w:rPr>
          <w:sz w:val="24"/>
          <w:szCs w:val="24"/>
        </w:rPr>
        <w:t xml:space="preserve"> to </w:t>
      </w:r>
      <w:r w:rsidR="008618E7" w:rsidRPr="00414B11">
        <w:rPr>
          <w:sz w:val="24"/>
          <w:szCs w:val="24"/>
        </w:rPr>
        <w:t>BANNO.</w:t>
      </w:r>
      <w:r w:rsidR="00FA5364" w:rsidRPr="00414B11">
        <w:rPr>
          <w:sz w:val="24"/>
          <w:szCs w:val="24"/>
        </w:rPr>
        <w:t>CHANGE.ADDR</w:t>
      </w:r>
      <w:r w:rsidR="008618E7" w:rsidRPr="00414B11">
        <w:rPr>
          <w:sz w:val="24"/>
          <w:szCs w:val="24"/>
        </w:rPr>
        <w:t>.V1</w:t>
      </w:r>
      <w:r w:rsidR="00E76032" w:rsidRPr="00414B11">
        <w:rPr>
          <w:sz w:val="24"/>
          <w:szCs w:val="24"/>
        </w:rPr>
        <w:t>.</w:t>
      </w:r>
      <w:r w:rsidRPr="00414B11">
        <w:rPr>
          <w:sz w:val="24"/>
          <w:szCs w:val="24"/>
        </w:rPr>
        <w:t>CFG</w:t>
      </w:r>
    </w:p>
    <w:p w14:paraId="660C09B0" w14:textId="5DD2A8CC" w:rsidR="00A52B94" w:rsidRPr="00962472" w:rsidRDefault="00FA5364" w:rsidP="005A1969">
      <w:pPr>
        <w:pStyle w:val="Heading1"/>
        <w:ind w:left="-630"/>
      </w:pPr>
      <w:r>
        <w:t xml:space="preserve">Account </w:t>
      </w:r>
      <w:r w:rsidRPr="00962472">
        <w:t>Exclusions</w:t>
      </w:r>
    </w:p>
    <w:p w14:paraId="0D355F0E" w14:textId="6C0C64A3" w:rsidR="00FA5364" w:rsidRPr="00414B11" w:rsidRDefault="00FA5364" w:rsidP="00FA5364">
      <w:pPr>
        <w:ind w:left="-630"/>
      </w:pPr>
      <w:r w:rsidRPr="00962472">
        <w:t>Account types or Account level warning</w:t>
      </w:r>
      <w:r w:rsidR="005F1102" w:rsidRPr="00962472">
        <w:t xml:space="preserve"> codes</w:t>
      </w:r>
      <w:r w:rsidRPr="00962472">
        <w:t xml:space="preserve"> which</w:t>
      </w:r>
      <w:r w:rsidRPr="00414B11">
        <w:t xml:space="preserve"> </w:t>
      </w:r>
      <w:r w:rsidR="005252E7" w:rsidRPr="00414B11">
        <w:t>prevent the member from automatically updating their address with this program. Instead, their Address Change request will be sent to Banno Conversations for the CU to review.</w:t>
      </w:r>
    </w:p>
    <w:tbl>
      <w:tblPr>
        <w:tblStyle w:val="TableGrid"/>
        <w:tblW w:w="10530" w:type="dxa"/>
        <w:tblInd w:w="-635" w:type="dxa"/>
        <w:tblLayout w:type="fixed"/>
        <w:tblLook w:val="04A0" w:firstRow="1" w:lastRow="0" w:firstColumn="1" w:lastColumn="0" w:noHBand="0" w:noVBand="1"/>
      </w:tblPr>
      <w:tblGrid>
        <w:gridCol w:w="1979"/>
        <w:gridCol w:w="4051"/>
        <w:gridCol w:w="1800"/>
        <w:gridCol w:w="2700"/>
      </w:tblGrid>
      <w:tr w:rsidR="00BF6F3B" w14:paraId="48204456" w14:textId="77777777" w:rsidTr="002439D2">
        <w:tc>
          <w:tcPr>
            <w:tcW w:w="1979" w:type="dxa"/>
            <w:vAlign w:val="center"/>
          </w:tcPr>
          <w:p w14:paraId="407E258C" w14:textId="64389552" w:rsidR="00BF6F3B" w:rsidRPr="00800CD1" w:rsidRDefault="00B243FC">
            <w:pPr>
              <w:rPr>
                <w:b/>
                <w:bCs/>
              </w:rPr>
            </w:pPr>
            <w:r w:rsidRPr="00800CD1">
              <w:rPr>
                <w:b/>
                <w:bCs/>
              </w:rPr>
              <w:t>Parameter Name</w:t>
            </w:r>
          </w:p>
        </w:tc>
        <w:tc>
          <w:tcPr>
            <w:tcW w:w="4051" w:type="dxa"/>
            <w:vAlign w:val="center"/>
          </w:tcPr>
          <w:p w14:paraId="4273415A" w14:textId="77E58CFE" w:rsidR="00BF6F3B" w:rsidRPr="00800CD1" w:rsidRDefault="00B243FC">
            <w:pPr>
              <w:rPr>
                <w:b/>
                <w:bCs/>
              </w:rPr>
            </w:pPr>
            <w:r w:rsidRPr="00800CD1">
              <w:rPr>
                <w:b/>
                <w:bCs/>
              </w:rPr>
              <w:t>Parameter Description</w:t>
            </w:r>
          </w:p>
        </w:tc>
        <w:tc>
          <w:tcPr>
            <w:tcW w:w="1800" w:type="dxa"/>
            <w:vAlign w:val="center"/>
          </w:tcPr>
          <w:p w14:paraId="5A9EFD33" w14:textId="7E5671A8" w:rsidR="00BF6F3B" w:rsidRPr="00800CD1" w:rsidRDefault="00B243FC" w:rsidP="00B243FC">
            <w:pPr>
              <w:jc w:val="center"/>
              <w:rPr>
                <w:b/>
                <w:bCs/>
              </w:rPr>
            </w:pPr>
            <w:r w:rsidRPr="00800CD1">
              <w:rPr>
                <w:b/>
                <w:bCs/>
              </w:rPr>
              <w:t>Default Value</w:t>
            </w:r>
          </w:p>
        </w:tc>
        <w:tc>
          <w:tcPr>
            <w:tcW w:w="2700" w:type="dxa"/>
            <w:vAlign w:val="center"/>
          </w:tcPr>
          <w:p w14:paraId="20646FC3" w14:textId="4F6D1CDE" w:rsidR="00BF6F3B" w:rsidRPr="00800CD1" w:rsidRDefault="00B243FC" w:rsidP="00B243FC">
            <w:pPr>
              <w:jc w:val="center"/>
              <w:rPr>
                <w:b/>
                <w:bCs/>
              </w:rPr>
            </w:pPr>
            <w:r w:rsidRPr="00800CD1">
              <w:rPr>
                <w:b/>
                <w:bCs/>
              </w:rPr>
              <w:t xml:space="preserve">CU </w:t>
            </w:r>
            <w:r w:rsidR="007D31E6">
              <w:rPr>
                <w:b/>
                <w:bCs/>
              </w:rPr>
              <w:t>Response</w:t>
            </w:r>
          </w:p>
        </w:tc>
      </w:tr>
      <w:tr w:rsidR="003D39DD" w14:paraId="5E8A7198" w14:textId="77777777" w:rsidTr="002439D2">
        <w:tc>
          <w:tcPr>
            <w:tcW w:w="1979" w:type="dxa"/>
          </w:tcPr>
          <w:p w14:paraId="18EA6F6F" w14:textId="2476B254" w:rsidR="003D39DD" w:rsidRDefault="00C20B80" w:rsidP="003D39DD">
            <w:r>
              <w:t>Ineligible Account Types</w:t>
            </w:r>
            <w:r w:rsidR="00E76032">
              <w:t>:</w:t>
            </w:r>
          </w:p>
        </w:tc>
        <w:tc>
          <w:tcPr>
            <w:tcW w:w="4051" w:type="dxa"/>
          </w:tcPr>
          <w:p w14:paraId="7BED366B" w14:textId="35B802E9" w:rsidR="00C20B80" w:rsidRPr="00414B11" w:rsidRDefault="000244FD" w:rsidP="00C20B80">
            <w:bookmarkStart w:id="0" w:name="_Hlk156291795"/>
            <w:r w:rsidRPr="00414B11">
              <w:t>Enter a list containing only numeric values along with commas or dashes. Any account that is one of the account types in the list will not be allowed to submit address changes using this functionality.</w:t>
            </w:r>
            <w:r w:rsidR="00A02671" w:rsidRPr="00414B11">
              <w:t xml:space="preserve"> </w:t>
            </w:r>
            <w:r w:rsidR="00FD7A8D" w:rsidRPr="00414B11">
              <w:t>“NONE” will cause no account types to be excluded.</w:t>
            </w:r>
          </w:p>
          <w:p w14:paraId="7FED54D0" w14:textId="77777777" w:rsidR="00340ECA" w:rsidRPr="00414B11" w:rsidRDefault="00340ECA" w:rsidP="00C20B80"/>
          <w:p w14:paraId="74C1C725" w14:textId="28941BC1" w:rsidR="003D39DD" w:rsidRPr="00571C82" w:rsidRDefault="00E76032" w:rsidP="00571C82">
            <w:r w:rsidRPr="00414B11">
              <w:rPr>
                <w:b/>
                <w:bCs/>
              </w:rPr>
              <w:t xml:space="preserve">Valid Values: </w:t>
            </w:r>
            <w:r w:rsidR="00FD7A8D" w:rsidRPr="00414B11">
              <w:t>1-9999</w:t>
            </w:r>
            <w:r w:rsidR="00C20B80" w:rsidRPr="00414B11">
              <w:t>, NONE</w:t>
            </w:r>
            <w:bookmarkEnd w:id="0"/>
          </w:p>
        </w:tc>
        <w:tc>
          <w:tcPr>
            <w:tcW w:w="1800" w:type="dxa"/>
            <w:vAlign w:val="center"/>
          </w:tcPr>
          <w:p w14:paraId="4901BDC4" w14:textId="55D27A83" w:rsidR="003D39DD" w:rsidRDefault="00C20B80" w:rsidP="00340ECA">
            <w:pPr>
              <w:jc w:val="center"/>
            </w:pPr>
            <w:r>
              <w:t>IA</w:t>
            </w:r>
            <w:r w:rsidR="00E76032" w:rsidRPr="00E76032">
              <w:t>T:</w:t>
            </w:r>
          </w:p>
        </w:tc>
        <w:tc>
          <w:tcPr>
            <w:tcW w:w="2700" w:type="dxa"/>
            <w:vAlign w:val="center"/>
          </w:tcPr>
          <w:p w14:paraId="62D9F49F" w14:textId="191500F5" w:rsidR="003D39DD" w:rsidRDefault="00340ECA" w:rsidP="00DF69DE">
            <w:r>
              <w:br/>
            </w:r>
            <w:r w:rsidR="00C20B80">
              <w:t>IA</w:t>
            </w:r>
            <w:r w:rsidR="008618E7">
              <w:t>T:</w:t>
            </w:r>
            <w:r w:rsidR="00E76032">
              <w:br/>
            </w:r>
          </w:p>
        </w:tc>
      </w:tr>
      <w:tr w:rsidR="00C20B80" w14:paraId="6779A50D" w14:textId="77777777" w:rsidTr="002439D2">
        <w:tc>
          <w:tcPr>
            <w:tcW w:w="1979" w:type="dxa"/>
          </w:tcPr>
          <w:p w14:paraId="2165DE52" w14:textId="19051A35" w:rsidR="00C20B80" w:rsidRDefault="00C20B80" w:rsidP="003D39DD">
            <w:r>
              <w:t>Account Warning Codes to Exclude:</w:t>
            </w:r>
          </w:p>
        </w:tc>
        <w:tc>
          <w:tcPr>
            <w:tcW w:w="4051" w:type="dxa"/>
          </w:tcPr>
          <w:p w14:paraId="6FE598EA" w14:textId="199B91A1" w:rsidR="00C20B80" w:rsidRPr="00414B11" w:rsidRDefault="000244FD" w:rsidP="00C20B80">
            <w:bookmarkStart w:id="1" w:name="_Hlk156291810"/>
            <w:r w:rsidRPr="00414B11">
              <w:t>Enter a list containing only numeric values along with commas or dashes. Any account that has one of the Account level warning codes in the list will not be allowed to submit address changes using this functionality.</w:t>
            </w:r>
            <w:r w:rsidR="00FD7A8D" w:rsidRPr="00414B11">
              <w:t xml:space="preserve"> “NONE” will cause no warning code account exclusion.</w:t>
            </w:r>
          </w:p>
          <w:p w14:paraId="5C070E8E" w14:textId="77777777" w:rsidR="00340ECA" w:rsidRPr="00414B11" w:rsidRDefault="00340ECA" w:rsidP="00C20B80"/>
          <w:p w14:paraId="5C0EA6A3" w14:textId="6F497C89" w:rsidR="00C20B80" w:rsidRPr="00414B11" w:rsidRDefault="00C20B80" w:rsidP="00C20B80">
            <w:r w:rsidRPr="00414B11">
              <w:rPr>
                <w:b/>
                <w:bCs/>
              </w:rPr>
              <w:t xml:space="preserve">Valid Values: </w:t>
            </w:r>
            <w:r w:rsidR="00FD7A8D" w:rsidRPr="00414B11">
              <w:t>1-999</w:t>
            </w:r>
            <w:r w:rsidRPr="00414B11">
              <w:t>, NONE</w:t>
            </w:r>
            <w:bookmarkEnd w:id="1"/>
          </w:p>
        </w:tc>
        <w:tc>
          <w:tcPr>
            <w:tcW w:w="1800" w:type="dxa"/>
            <w:vAlign w:val="center"/>
          </w:tcPr>
          <w:p w14:paraId="391B938E" w14:textId="1FD81AED" w:rsidR="00C20B80" w:rsidRDefault="00C20B80" w:rsidP="008618E7">
            <w:pPr>
              <w:jc w:val="center"/>
            </w:pPr>
            <w:r>
              <w:t>AW:</w:t>
            </w:r>
          </w:p>
        </w:tc>
        <w:tc>
          <w:tcPr>
            <w:tcW w:w="2700" w:type="dxa"/>
            <w:vAlign w:val="center"/>
          </w:tcPr>
          <w:p w14:paraId="71F88E57" w14:textId="00388AD3" w:rsidR="00C20B80" w:rsidRDefault="00C20B80" w:rsidP="00DF69DE">
            <w:r>
              <w:t>AW:</w:t>
            </w:r>
          </w:p>
        </w:tc>
      </w:tr>
    </w:tbl>
    <w:p w14:paraId="2D65C83D" w14:textId="0C4755F1" w:rsidR="005A1969" w:rsidRDefault="00BD417C" w:rsidP="005A1969">
      <w:pPr>
        <w:pStyle w:val="Heading1"/>
        <w:ind w:left="-630"/>
      </w:pPr>
      <w:r>
        <w:t xml:space="preserve">Remove/Set </w:t>
      </w:r>
      <w:r w:rsidR="00C20B80">
        <w:t>Warning Code</w:t>
      </w:r>
      <w:r>
        <w:t>s</w:t>
      </w:r>
      <w:r w:rsidR="00C20B80">
        <w:t xml:space="preserve"> </w:t>
      </w:r>
    </w:p>
    <w:p w14:paraId="4468C781" w14:textId="5BF0B2B9" w:rsidR="005A1969" w:rsidRPr="00414B11" w:rsidRDefault="005F1102" w:rsidP="005A1969">
      <w:pPr>
        <w:ind w:left="-630"/>
      </w:pPr>
      <w:r w:rsidRPr="00962472">
        <w:t xml:space="preserve">Identify if </w:t>
      </w:r>
      <w:r w:rsidR="00BD417C" w:rsidRPr="00962472">
        <w:t>the program</w:t>
      </w:r>
      <w:r w:rsidRPr="00962472">
        <w:t xml:space="preserve"> should</w:t>
      </w:r>
      <w:r w:rsidR="00BD417C" w:rsidRPr="00962472">
        <w:t xml:space="preserve"> remove and/or set specific</w:t>
      </w:r>
      <w:r w:rsidR="005252E7" w:rsidRPr="00962472">
        <w:t xml:space="preserve"> Account level</w:t>
      </w:r>
      <w:r w:rsidR="00BD417C" w:rsidRPr="00962472">
        <w:t xml:space="preserve"> warning codes with a successful Address Change</w:t>
      </w:r>
      <w:r w:rsidRPr="00962472">
        <w:t>.</w:t>
      </w:r>
    </w:p>
    <w:tbl>
      <w:tblPr>
        <w:tblStyle w:val="TableGrid"/>
        <w:tblW w:w="10530" w:type="dxa"/>
        <w:tblInd w:w="-635" w:type="dxa"/>
        <w:tblLayout w:type="fixed"/>
        <w:tblLook w:val="04A0" w:firstRow="1" w:lastRow="0" w:firstColumn="1" w:lastColumn="0" w:noHBand="0" w:noVBand="1"/>
      </w:tblPr>
      <w:tblGrid>
        <w:gridCol w:w="1979"/>
        <w:gridCol w:w="4051"/>
        <w:gridCol w:w="1800"/>
        <w:gridCol w:w="2700"/>
      </w:tblGrid>
      <w:tr w:rsidR="005F1102" w14:paraId="7CF43727" w14:textId="77777777" w:rsidTr="005F1102">
        <w:tc>
          <w:tcPr>
            <w:tcW w:w="1979" w:type="dxa"/>
            <w:vAlign w:val="center"/>
          </w:tcPr>
          <w:p w14:paraId="7855E0DA" w14:textId="1EC6514E" w:rsidR="005F1102" w:rsidRDefault="005F1102" w:rsidP="00FB3BB9">
            <w:r w:rsidRPr="00800CD1">
              <w:rPr>
                <w:b/>
                <w:bCs/>
              </w:rPr>
              <w:t>Parameter Name</w:t>
            </w:r>
          </w:p>
        </w:tc>
        <w:tc>
          <w:tcPr>
            <w:tcW w:w="4051" w:type="dxa"/>
            <w:vAlign w:val="center"/>
          </w:tcPr>
          <w:p w14:paraId="119FF4B3" w14:textId="08A98CE6" w:rsidR="005F1102" w:rsidRDefault="005F1102" w:rsidP="00FB3BB9">
            <w:r w:rsidRPr="00800CD1">
              <w:rPr>
                <w:b/>
                <w:bCs/>
              </w:rPr>
              <w:t>Parameter Description</w:t>
            </w:r>
          </w:p>
        </w:tc>
        <w:tc>
          <w:tcPr>
            <w:tcW w:w="1800" w:type="dxa"/>
            <w:vAlign w:val="center"/>
          </w:tcPr>
          <w:p w14:paraId="407B20EA" w14:textId="15B7FC2B" w:rsidR="005F1102" w:rsidRPr="00E76032" w:rsidRDefault="005F1102" w:rsidP="00FB3BB9">
            <w:pPr>
              <w:jc w:val="center"/>
            </w:pPr>
            <w:r w:rsidRPr="00800CD1">
              <w:rPr>
                <w:b/>
                <w:bCs/>
              </w:rPr>
              <w:t>Default Value</w:t>
            </w:r>
          </w:p>
        </w:tc>
        <w:tc>
          <w:tcPr>
            <w:tcW w:w="2700" w:type="dxa"/>
            <w:vAlign w:val="center"/>
          </w:tcPr>
          <w:p w14:paraId="4EAA7917" w14:textId="4E51A9C1" w:rsidR="005F1102" w:rsidRPr="00E76032" w:rsidRDefault="005F1102" w:rsidP="00FB3BB9">
            <w:pPr>
              <w:jc w:val="center"/>
            </w:pPr>
            <w:r w:rsidRPr="00800CD1">
              <w:rPr>
                <w:b/>
                <w:bCs/>
              </w:rPr>
              <w:t xml:space="preserve">CU </w:t>
            </w:r>
            <w:r>
              <w:rPr>
                <w:b/>
                <w:bCs/>
              </w:rPr>
              <w:t>Response</w:t>
            </w:r>
          </w:p>
        </w:tc>
      </w:tr>
      <w:tr w:rsidR="005F1102" w14:paraId="322148F5" w14:textId="77777777" w:rsidTr="005F1102">
        <w:tc>
          <w:tcPr>
            <w:tcW w:w="1979" w:type="dxa"/>
          </w:tcPr>
          <w:p w14:paraId="61667870" w14:textId="1B522B03" w:rsidR="005F1102" w:rsidRPr="00534310" w:rsidRDefault="005F1102" w:rsidP="00E76032">
            <w:r w:rsidRPr="00534310">
              <w:t>Clear Warning Code:</w:t>
            </w:r>
          </w:p>
        </w:tc>
        <w:tc>
          <w:tcPr>
            <w:tcW w:w="4051" w:type="dxa"/>
          </w:tcPr>
          <w:p w14:paraId="57E603A0" w14:textId="3A48E590" w:rsidR="005F1102" w:rsidRPr="00534310" w:rsidRDefault="005F1102" w:rsidP="00E76032">
            <w:r w:rsidRPr="00534310">
              <w:t xml:space="preserve">If the address update is successful, the program will delete this </w:t>
            </w:r>
            <w:r w:rsidRPr="00534310">
              <w:rPr>
                <w:b/>
                <w:bCs/>
                <w:u w:val="single"/>
              </w:rPr>
              <w:t>single</w:t>
            </w:r>
            <w:r w:rsidRPr="00534310">
              <w:t xml:space="preserve"> account level warning code. Enter the warning code or “NONE” if the program does not need to clear a warning.</w:t>
            </w:r>
          </w:p>
          <w:p w14:paraId="33275E45" w14:textId="0DB89FCD" w:rsidR="005F1102" w:rsidRPr="00534310" w:rsidRDefault="005F1102" w:rsidP="00E76032">
            <w:r w:rsidRPr="00534310">
              <w:br/>
            </w:r>
            <w:r w:rsidRPr="00534310">
              <w:rPr>
                <w:b/>
                <w:bCs/>
              </w:rPr>
              <w:t>*Valid Values</w:t>
            </w:r>
            <w:r w:rsidRPr="00534310">
              <w:t>: 1-999, NONE (*Limit 1)</w:t>
            </w:r>
          </w:p>
        </w:tc>
        <w:tc>
          <w:tcPr>
            <w:tcW w:w="1800" w:type="dxa"/>
            <w:vAlign w:val="center"/>
          </w:tcPr>
          <w:p w14:paraId="719C249E" w14:textId="62E1C99E" w:rsidR="005F1102" w:rsidRPr="00E76032" w:rsidRDefault="005F1102" w:rsidP="00E76032">
            <w:pPr>
              <w:jc w:val="center"/>
            </w:pPr>
            <w:r>
              <w:t>CW</w:t>
            </w:r>
            <w:r w:rsidRPr="00E76032">
              <w:t xml:space="preserve">: </w:t>
            </w:r>
          </w:p>
          <w:p w14:paraId="08584108" w14:textId="2C32CF8E" w:rsidR="005F1102" w:rsidRDefault="005F1102" w:rsidP="00E76032">
            <w:pPr>
              <w:jc w:val="center"/>
            </w:pPr>
          </w:p>
        </w:tc>
        <w:tc>
          <w:tcPr>
            <w:tcW w:w="2700" w:type="dxa"/>
            <w:vAlign w:val="center"/>
          </w:tcPr>
          <w:p w14:paraId="3CC379B7" w14:textId="44E83A5D" w:rsidR="005F1102" w:rsidRDefault="005F1102" w:rsidP="00DF69DE">
            <w:r>
              <w:t>CW:</w:t>
            </w:r>
            <w:r>
              <w:br/>
            </w:r>
          </w:p>
        </w:tc>
      </w:tr>
      <w:tr w:rsidR="005F1102" w14:paraId="1A32F949" w14:textId="77777777" w:rsidTr="005F1102">
        <w:tc>
          <w:tcPr>
            <w:tcW w:w="1979" w:type="dxa"/>
          </w:tcPr>
          <w:p w14:paraId="6B168897" w14:textId="15EEB0E0" w:rsidR="005F1102" w:rsidRDefault="005F1102" w:rsidP="00E76032">
            <w:r>
              <w:t xml:space="preserve">Set Warning </w:t>
            </w:r>
            <w:r w:rsidRPr="00414B11">
              <w:t>Code:</w:t>
            </w:r>
          </w:p>
        </w:tc>
        <w:tc>
          <w:tcPr>
            <w:tcW w:w="4051" w:type="dxa"/>
          </w:tcPr>
          <w:p w14:paraId="214E4844" w14:textId="563558CD" w:rsidR="005F1102" w:rsidRPr="00414B11" w:rsidRDefault="005F1102" w:rsidP="00BD417C">
            <w:r w:rsidRPr="00414B11">
              <w:t xml:space="preserve">If the address update is successful, the program will set this </w:t>
            </w:r>
            <w:r w:rsidRPr="00414B11">
              <w:rPr>
                <w:b/>
                <w:bCs/>
                <w:u w:val="single"/>
              </w:rPr>
              <w:t>single</w:t>
            </w:r>
            <w:r w:rsidRPr="00414B11">
              <w:t xml:space="preserve"> account level warning code. Enter the warning code or “NONE” if the program does not need to set a warning. </w:t>
            </w:r>
          </w:p>
          <w:p w14:paraId="702983B1" w14:textId="77777777" w:rsidR="005F1102" w:rsidRPr="00414B11" w:rsidRDefault="005F1102" w:rsidP="00BD417C"/>
          <w:p w14:paraId="5A82F474" w14:textId="579C94E0" w:rsidR="005F1102" w:rsidRPr="00414B11" w:rsidRDefault="00962472" w:rsidP="00E76032">
            <w:r w:rsidRPr="00534310">
              <w:rPr>
                <w:b/>
                <w:bCs/>
              </w:rPr>
              <w:t>*</w:t>
            </w:r>
            <w:r w:rsidR="005F1102" w:rsidRPr="00534310">
              <w:rPr>
                <w:b/>
                <w:bCs/>
              </w:rPr>
              <w:t>Valid Values</w:t>
            </w:r>
            <w:r w:rsidR="005F1102" w:rsidRPr="00534310">
              <w:t>: 1-999, NONE</w:t>
            </w:r>
            <w:r w:rsidRPr="00534310">
              <w:t xml:space="preserve"> (*Limit 1)</w:t>
            </w:r>
          </w:p>
        </w:tc>
        <w:tc>
          <w:tcPr>
            <w:tcW w:w="1800" w:type="dxa"/>
            <w:vAlign w:val="center"/>
          </w:tcPr>
          <w:p w14:paraId="6CE8D9AF" w14:textId="1FA619EE" w:rsidR="005F1102" w:rsidRDefault="005F1102" w:rsidP="00E76032">
            <w:pPr>
              <w:jc w:val="center"/>
            </w:pPr>
            <w:r>
              <w:t>SW:</w:t>
            </w:r>
          </w:p>
        </w:tc>
        <w:tc>
          <w:tcPr>
            <w:tcW w:w="2700" w:type="dxa"/>
            <w:vAlign w:val="center"/>
          </w:tcPr>
          <w:p w14:paraId="3BF3FCB8" w14:textId="5E12A1B4" w:rsidR="005F1102" w:rsidRDefault="005F1102" w:rsidP="00DF69DE">
            <w:r>
              <w:t>SW:</w:t>
            </w:r>
          </w:p>
        </w:tc>
      </w:tr>
    </w:tbl>
    <w:p w14:paraId="4FB46E52" w14:textId="77777777" w:rsidR="002C28BE" w:rsidRDefault="002C28BE"/>
    <w:p w14:paraId="57F9162E" w14:textId="5CC02DD8" w:rsidR="002C28BE" w:rsidRDefault="002C28BE" w:rsidP="002C28BE">
      <w:pPr>
        <w:pStyle w:val="Heading1"/>
        <w:ind w:left="-630"/>
      </w:pPr>
      <w:r>
        <w:lastRenderedPageBreak/>
        <w:t>Remove/Set Warning Codes - Continued</w:t>
      </w:r>
    </w:p>
    <w:tbl>
      <w:tblPr>
        <w:tblStyle w:val="TableGrid"/>
        <w:tblW w:w="10530" w:type="dxa"/>
        <w:tblInd w:w="-635" w:type="dxa"/>
        <w:tblLayout w:type="fixed"/>
        <w:tblLook w:val="04A0" w:firstRow="1" w:lastRow="0" w:firstColumn="1" w:lastColumn="0" w:noHBand="0" w:noVBand="1"/>
      </w:tblPr>
      <w:tblGrid>
        <w:gridCol w:w="1979"/>
        <w:gridCol w:w="4051"/>
        <w:gridCol w:w="1800"/>
        <w:gridCol w:w="2700"/>
      </w:tblGrid>
      <w:tr w:rsidR="005F1102" w14:paraId="0BEDE54D" w14:textId="77777777" w:rsidTr="005F1102">
        <w:tc>
          <w:tcPr>
            <w:tcW w:w="1979" w:type="dxa"/>
          </w:tcPr>
          <w:p w14:paraId="4650CA58" w14:textId="1DD0739D" w:rsidR="005F1102" w:rsidRDefault="005F1102" w:rsidP="00E76032">
            <w:r>
              <w:t>Set Warning Expiration Days:</w:t>
            </w:r>
          </w:p>
        </w:tc>
        <w:tc>
          <w:tcPr>
            <w:tcW w:w="4051" w:type="dxa"/>
          </w:tcPr>
          <w:p w14:paraId="7AD6C162" w14:textId="2DF48F71" w:rsidR="005F1102" w:rsidRPr="00414B11" w:rsidRDefault="005F1102" w:rsidP="00E76032">
            <w:r w:rsidRPr="00414B11">
              <w:t xml:space="preserve">If using the </w:t>
            </w:r>
            <w:r w:rsidRPr="00414B11">
              <w:rPr>
                <w:b/>
                <w:bCs/>
              </w:rPr>
              <w:t>Set Warning Code</w:t>
            </w:r>
            <w:r w:rsidRPr="00414B11">
              <w:t xml:space="preserve"> parameter, </w:t>
            </w:r>
            <w:r w:rsidRPr="00534310">
              <w:t xml:space="preserve">determine how many days the warning code </w:t>
            </w:r>
            <w:r w:rsidR="00962472" w:rsidRPr="00534310">
              <w:t xml:space="preserve">should </w:t>
            </w:r>
            <w:r w:rsidRPr="00534310">
              <w:t>remain on the account.</w:t>
            </w:r>
            <w:r w:rsidRPr="00414B11">
              <w:t xml:space="preserve"> “NONE” will not set a warning code expiration date.</w:t>
            </w:r>
          </w:p>
          <w:p w14:paraId="44E906A6" w14:textId="77777777" w:rsidR="005F1102" w:rsidRPr="00414B11" w:rsidRDefault="005F1102" w:rsidP="00E76032"/>
          <w:p w14:paraId="246F6272" w14:textId="52FE8ECC" w:rsidR="005F1102" w:rsidRPr="00414B11" w:rsidRDefault="005F1102" w:rsidP="00E76032">
            <w:pPr>
              <w:rPr>
                <w:color w:val="0070C0"/>
              </w:rPr>
            </w:pPr>
            <w:r w:rsidRPr="00BF4682">
              <w:rPr>
                <w:b/>
                <w:bCs/>
              </w:rPr>
              <w:t>Valid Values:</w:t>
            </w:r>
            <w:r w:rsidRPr="00414B11">
              <w:t xml:space="preserve">  # &gt; 0, NONE</w:t>
            </w:r>
          </w:p>
        </w:tc>
        <w:tc>
          <w:tcPr>
            <w:tcW w:w="1800" w:type="dxa"/>
            <w:vAlign w:val="center"/>
          </w:tcPr>
          <w:p w14:paraId="60206609" w14:textId="34F63D1B" w:rsidR="005F1102" w:rsidRDefault="005F1102" w:rsidP="00E76032">
            <w:pPr>
              <w:jc w:val="center"/>
            </w:pPr>
            <w:r>
              <w:t>ED:</w:t>
            </w:r>
          </w:p>
        </w:tc>
        <w:tc>
          <w:tcPr>
            <w:tcW w:w="2700" w:type="dxa"/>
            <w:vAlign w:val="center"/>
          </w:tcPr>
          <w:p w14:paraId="55F75111" w14:textId="19142CB1" w:rsidR="005F1102" w:rsidRDefault="005F1102" w:rsidP="00DF69DE">
            <w:r>
              <w:t>ED:</w:t>
            </w:r>
          </w:p>
        </w:tc>
      </w:tr>
    </w:tbl>
    <w:p w14:paraId="40D88B13" w14:textId="77777777" w:rsidR="000244FD" w:rsidRDefault="000244FD" w:rsidP="000244FD">
      <w:pPr>
        <w:pStyle w:val="NoSpacing"/>
      </w:pPr>
    </w:p>
    <w:p w14:paraId="60DA7888" w14:textId="1FEE5FDC" w:rsidR="005A1969" w:rsidRDefault="005252E7" w:rsidP="000244FD">
      <w:pPr>
        <w:pStyle w:val="Heading1"/>
        <w:ind w:left="-630"/>
      </w:pPr>
      <w:r>
        <w:t>PO Box Restrictions</w:t>
      </w:r>
    </w:p>
    <w:p w14:paraId="4A81DAA7" w14:textId="4765C1E9" w:rsidR="00CF3623" w:rsidRPr="00414B11" w:rsidRDefault="005252E7" w:rsidP="005252E7">
      <w:pPr>
        <w:ind w:left="-630"/>
      </w:pPr>
      <w:r w:rsidRPr="00414B11">
        <w:t>If enabled, the program can prevent users from entering a PO Box in the Street Address field and will send their request to Banno Conversations for the CU to review.</w:t>
      </w:r>
    </w:p>
    <w:tbl>
      <w:tblPr>
        <w:tblStyle w:val="TableGrid"/>
        <w:tblW w:w="10530" w:type="dxa"/>
        <w:tblInd w:w="-635" w:type="dxa"/>
        <w:tblLayout w:type="fixed"/>
        <w:tblLook w:val="04A0" w:firstRow="1" w:lastRow="0" w:firstColumn="1" w:lastColumn="0" w:noHBand="0" w:noVBand="1"/>
      </w:tblPr>
      <w:tblGrid>
        <w:gridCol w:w="1979"/>
        <w:gridCol w:w="3286"/>
        <w:gridCol w:w="765"/>
        <w:gridCol w:w="2070"/>
        <w:gridCol w:w="2430"/>
      </w:tblGrid>
      <w:tr w:rsidR="00FB3BB9" w14:paraId="32D7764C" w14:textId="77777777" w:rsidTr="00714FA9">
        <w:tc>
          <w:tcPr>
            <w:tcW w:w="1979" w:type="dxa"/>
            <w:vAlign w:val="center"/>
          </w:tcPr>
          <w:p w14:paraId="5DE3A851" w14:textId="407FA748" w:rsidR="00FB3BB9" w:rsidRDefault="00FB3BB9" w:rsidP="00FB3BB9">
            <w:r w:rsidRPr="00800CD1">
              <w:rPr>
                <w:b/>
                <w:bCs/>
              </w:rPr>
              <w:t>Parameter Name</w:t>
            </w:r>
          </w:p>
        </w:tc>
        <w:tc>
          <w:tcPr>
            <w:tcW w:w="4051" w:type="dxa"/>
            <w:gridSpan w:val="2"/>
            <w:vAlign w:val="center"/>
          </w:tcPr>
          <w:p w14:paraId="01BD148E" w14:textId="7C414C5F" w:rsidR="00FB3BB9" w:rsidRDefault="00FB3BB9" w:rsidP="00FB3BB9">
            <w:r w:rsidRPr="00800CD1">
              <w:rPr>
                <w:b/>
                <w:bCs/>
              </w:rPr>
              <w:t>Parameter Description</w:t>
            </w:r>
          </w:p>
        </w:tc>
        <w:tc>
          <w:tcPr>
            <w:tcW w:w="2070" w:type="dxa"/>
            <w:vAlign w:val="center"/>
          </w:tcPr>
          <w:p w14:paraId="4DCA38FE" w14:textId="701BC2D5" w:rsidR="00FB3BB9" w:rsidRDefault="00FB3BB9" w:rsidP="00FB3BB9">
            <w:pPr>
              <w:jc w:val="center"/>
            </w:pPr>
            <w:r w:rsidRPr="00800CD1">
              <w:rPr>
                <w:b/>
                <w:bCs/>
              </w:rPr>
              <w:t>Default Value</w:t>
            </w:r>
          </w:p>
        </w:tc>
        <w:tc>
          <w:tcPr>
            <w:tcW w:w="2430" w:type="dxa"/>
            <w:vAlign w:val="center"/>
          </w:tcPr>
          <w:p w14:paraId="61F944F6" w14:textId="740E5BFD" w:rsidR="00FB3BB9" w:rsidRDefault="00FB3BB9" w:rsidP="00FB3BB9">
            <w:pPr>
              <w:jc w:val="center"/>
            </w:pPr>
            <w:r w:rsidRPr="00800CD1">
              <w:rPr>
                <w:b/>
                <w:bCs/>
              </w:rPr>
              <w:t xml:space="preserve">CU </w:t>
            </w:r>
            <w:r>
              <w:rPr>
                <w:b/>
                <w:bCs/>
              </w:rPr>
              <w:t>Response</w:t>
            </w:r>
          </w:p>
        </w:tc>
      </w:tr>
      <w:tr w:rsidR="00BB5164" w14:paraId="5DF18DB2" w14:textId="77777777" w:rsidTr="005A1969">
        <w:tc>
          <w:tcPr>
            <w:tcW w:w="1979" w:type="dxa"/>
          </w:tcPr>
          <w:p w14:paraId="70A053B7" w14:textId="69758E5E" w:rsidR="00BB5164" w:rsidRPr="00534310" w:rsidRDefault="005252E7" w:rsidP="00BB5164">
            <w:r w:rsidRPr="00534310">
              <w:t>PO Box Restrict:</w:t>
            </w:r>
          </w:p>
        </w:tc>
        <w:tc>
          <w:tcPr>
            <w:tcW w:w="4051" w:type="dxa"/>
            <w:gridSpan w:val="2"/>
          </w:tcPr>
          <w:p w14:paraId="2FCF44BA" w14:textId="464CC374" w:rsidR="00340ECA" w:rsidRPr="00534310" w:rsidRDefault="00962472" w:rsidP="00E76032">
            <w:r w:rsidRPr="00534310">
              <w:t>Determine if the member s</w:t>
            </w:r>
            <w:r w:rsidR="002C28BE" w:rsidRPr="00534310">
              <w:t>hould be</w:t>
            </w:r>
            <w:r w:rsidR="005252E7" w:rsidRPr="00534310">
              <w:t xml:space="preserve"> restrict</w:t>
            </w:r>
            <w:r w:rsidR="002C28BE" w:rsidRPr="00534310">
              <w:t>ed</w:t>
            </w:r>
            <w:r w:rsidR="005252E7" w:rsidRPr="00534310">
              <w:t xml:space="preserve"> from entering a PO Box in the Street Address field</w:t>
            </w:r>
            <w:r w:rsidRPr="00534310">
              <w:t>.</w:t>
            </w:r>
            <w:r w:rsidR="00152297" w:rsidRPr="00534310">
              <w:t xml:space="preserve"> </w:t>
            </w:r>
          </w:p>
          <w:p w14:paraId="51B898C7" w14:textId="3AB0E85F" w:rsidR="00BB5164" w:rsidRPr="00534310" w:rsidRDefault="00152297" w:rsidP="00E76032">
            <w:r w:rsidRPr="00534310">
              <w:br/>
            </w:r>
            <w:r w:rsidR="00E76032" w:rsidRPr="00534310">
              <w:rPr>
                <w:b/>
                <w:bCs/>
              </w:rPr>
              <w:t>Valid Values</w:t>
            </w:r>
            <w:r w:rsidR="00E76032" w:rsidRPr="00534310">
              <w:t xml:space="preserve">: </w:t>
            </w:r>
            <w:r w:rsidR="005252E7" w:rsidRPr="00534310">
              <w:t>YES or NO</w:t>
            </w:r>
          </w:p>
        </w:tc>
        <w:tc>
          <w:tcPr>
            <w:tcW w:w="2070" w:type="dxa"/>
            <w:vAlign w:val="center"/>
          </w:tcPr>
          <w:p w14:paraId="31C9E987" w14:textId="21B9ED68" w:rsidR="00BB5164" w:rsidRDefault="005252E7" w:rsidP="00BB5164">
            <w:pPr>
              <w:jc w:val="center"/>
            </w:pPr>
            <w:r>
              <w:t>PR</w:t>
            </w:r>
            <w:r w:rsidR="000A6D6C">
              <w:t xml:space="preserve">: </w:t>
            </w:r>
            <w:r w:rsidR="00FD7A8D" w:rsidRPr="00075A5D">
              <w:t>YES</w:t>
            </w:r>
          </w:p>
        </w:tc>
        <w:tc>
          <w:tcPr>
            <w:tcW w:w="2430" w:type="dxa"/>
            <w:vAlign w:val="center"/>
          </w:tcPr>
          <w:p w14:paraId="2A10B4B7" w14:textId="62B1EA76" w:rsidR="00BB5164" w:rsidRDefault="005252E7" w:rsidP="00DF69DE">
            <w:r>
              <w:t>PR</w:t>
            </w:r>
            <w:r w:rsidR="000A6D6C">
              <w:t>:</w:t>
            </w:r>
          </w:p>
        </w:tc>
      </w:tr>
      <w:tr w:rsidR="001A5544" w14:paraId="79FA1037" w14:textId="77777777" w:rsidTr="001A5544">
        <w:tc>
          <w:tcPr>
            <w:tcW w:w="1979" w:type="dxa"/>
          </w:tcPr>
          <w:p w14:paraId="19695D36" w14:textId="5856486A" w:rsidR="001A5544" w:rsidRDefault="001A5544" w:rsidP="00BB5164">
            <w:r>
              <w:t>PO Box List:</w:t>
            </w:r>
          </w:p>
        </w:tc>
        <w:tc>
          <w:tcPr>
            <w:tcW w:w="8551" w:type="dxa"/>
            <w:gridSpan w:val="4"/>
          </w:tcPr>
          <w:p w14:paraId="4D629CEE" w14:textId="5B6A7327" w:rsidR="00340ECA" w:rsidRPr="00414B11" w:rsidRDefault="001A5544" w:rsidP="001A5544">
            <w:r w:rsidRPr="00414B11">
              <w:t>If</w:t>
            </w:r>
            <w:r w:rsidR="00FD7A8D" w:rsidRPr="00414B11">
              <w:t xml:space="preserve"> </w:t>
            </w:r>
            <w:r w:rsidR="00FD7A8D" w:rsidRPr="00414B11">
              <w:rPr>
                <w:b/>
                <w:bCs/>
              </w:rPr>
              <w:t>PO Box Restrict</w:t>
            </w:r>
            <w:r w:rsidR="00FD7A8D" w:rsidRPr="00414B11">
              <w:t xml:space="preserve"> is set to “</w:t>
            </w:r>
            <w:r w:rsidR="00FD7A8D" w:rsidRPr="00962472">
              <w:rPr>
                <w:b/>
                <w:bCs/>
              </w:rPr>
              <w:t>YES</w:t>
            </w:r>
            <w:r w:rsidR="00FD7A8D" w:rsidRPr="00962472">
              <w:t>”,</w:t>
            </w:r>
            <w:r w:rsidRPr="00962472">
              <w:t xml:space="preserve"> list </w:t>
            </w:r>
            <w:r w:rsidR="002C28BE" w:rsidRPr="00962472">
              <w:t>any</w:t>
            </w:r>
            <w:r w:rsidRPr="00962472">
              <w:t xml:space="preserve"> PO Box phrases the program should check for. All phrases will be forced to uppercase when comparing. </w:t>
            </w:r>
            <w:r w:rsidR="005F1102" w:rsidRPr="00962472">
              <w:t xml:space="preserve">Enter </w:t>
            </w:r>
            <w:r w:rsidRPr="00962472">
              <w:t>up</w:t>
            </w:r>
            <w:r w:rsidRPr="00414B11">
              <w:t xml:space="preserve"> to 20 different phrases.</w:t>
            </w:r>
          </w:p>
          <w:p w14:paraId="75E8AB21" w14:textId="0FC485AB" w:rsidR="001A5544" w:rsidRDefault="001A5544" w:rsidP="001A5544">
            <w:r w:rsidRPr="00414B11">
              <w:br/>
            </w:r>
            <w:r w:rsidRPr="00414B11">
              <w:rPr>
                <w:b/>
                <w:bCs/>
              </w:rPr>
              <w:t>Valid Values:</w:t>
            </w:r>
            <w:r w:rsidRPr="00414B11">
              <w:t xml:space="preserve"> </w:t>
            </w:r>
            <w:r w:rsidRPr="001A5544">
              <w:t>‘PO Box’, ‘P.O. Box’, ‘Post Office Box’, ‘</w:t>
            </w:r>
            <w:proofErr w:type="spellStart"/>
            <w:r w:rsidRPr="001A5544">
              <w:t>P.</w:t>
            </w:r>
            <w:proofErr w:type="gramStart"/>
            <w:r w:rsidRPr="001A5544">
              <w:t>O.Box</w:t>
            </w:r>
            <w:proofErr w:type="spellEnd"/>
            <w:proofErr w:type="gramEnd"/>
            <w:r w:rsidRPr="001A5544">
              <w:t>’, ‘PO. Box’, etc.</w:t>
            </w:r>
          </w:p>
        </w:tc>
      </w:tr>
      <w:tr w:rsidR="001A5544" w14:paraId="18BB1589" w14:textId="77777777" w:rsidTr="001A5544">
        <w:tc>
          <w:tcPr>
            <w:tcW w:w="5265" w:type="dxa"/>
            <w:gridSpan w:val="2"/>
          </w:tcPr>
          <w:p w14:paraId="61F2E898" w14:textId="1656D498" w:rsidR="001A5544" w:rsidRDefault="001A5544" w:rsidP="00BB5164">
            <w:r>
              <w:t xml:space="preserve">PO Box List 01: </w:t>
            </w:r>
          </w:p>
        </w:tc>
        <w:tc>
          <w:tcPr>
            <w:tcW w:w="5265" w:type="dxa"/>
            <w:gridSpan w:val="3"/>
          </w:tcPr>
          <w:p w14:paraId="3ED1FBF1" w14:textId="2A15D1CD" w:rsidR="001A5544" w:rsidRPr="001A5544" w:rsidRDefault="001A5544" w:rsidP="001A5544">
            <w:r>
              <w:t>PO Box List 11:</w:t>
            </w:r>
          </w:p>
        </w:tc>
      </w:tr>
      <w:tr w:rsidR="001A5544" w14:paraId="65327307" w14:textId="77777777" w:rsidTr="001A5544">
        <w:tc>
          <w:tcPr>
            <w:tcW w:w="5265" w:type="dxa"/>
            <w:gridSpan w:val="2"/>
          </w:tcPr>
          <w:p w14:paraId="2AD868F8" w14:textId="6BD5FC95" w:rsidR="001A5544" w:rsidRDefault="001A5544" w:rsidP="00BB5164">
            <w:r>
              <w:t>PO Box List 02:</w:t>
            </w:r>
          </w:p>
        </w:tc>
        <w:tc>
          <w:tcPr>
            <w:tcW w:w="5265" w:type="dxa"/>
            <w:gridSpan w:val="3"/>
          </w:tcPr>
          <w:p w14:paraId="4B3FAF3C" w14:textId="2066E2C3" w:rsidR="001A5544" w:rsidRPr="001A5544" w:rsidRDefault="001A5544" w:rsidP="001A5544">
            <w:r>
              <w:t>PO Box List 12:</w:t>
            </w:r>
          </w:p>
        </w:tc>
      </w:tr>
      <w:tr w:rsidR="001A5544" w14:paraId="1DDFB2EF" w14:textId="77777777" w:rsidTr="001A5544">
        <w:tc>
          <w:tcPr>
            <w:tcW w:w="5265" w:type="dxa"/>
            <w:gridSpan w:val="2"/>
          </w:tcPr>
          <w:p w14:paraId="2D34BF7F" w14:textId="55CE4C19" w:rsidR="001A5544" w:rsidRDefault="001A5544" w:rsidP="00BB5164">
            <w:r>
              <w:t>PO Box List 03:</w:t>
            </w:r>
          </w:p>
        </w:tc>
        <w:tc>
          <w:tcPr>
            <w:tcW w:w="5265" w:type="dxa"/>
            <w:gridSpan w:val="3"/>
          </w:tcPr>
          <w:p w14:paraId="5BA32C19" w14:textId="6A28F6F7" w:rsidR="001A5544" w:rsidRPr="001A5544" w:rsidRDefault="001A5544" w:rsidP="001A5544">
            <w:r>
              <w:t>PO Box List 13:</w:t>
            </w:r>
          </w:p>
        </w:tc>
      </w:tr>
      <w:tr w:rsidR="001A5544" w14:paraId="1BC963D6" w14:textId="77777777" w:rsidTr="001A5544">
        <w:tc>
          <w:tcPr>
            <w:tcW w:w="5265" w:type="dxa"/>
            <w:gridSpan w:val="2"/>
          </w:tcPr>
          <w:p w14:paraId="1827C87A" w14:textId="1C3CDA2D" w:rsidR="001A5544" w:rsidRDefault="001A5544" w:rsidP="00BB5164">
            <w:r>
              <w:t>PO Box List 04:</w:t>
            </w:r>
          </w:p>
        </w:tc>
        <w:tc>
          <w:tcPr>
            <w:tcW w:w="5265" w:type="dxa"/>
            <w:gridSpan w:val="3"/>
          </w:tcPr>
          <w:p w14:paraId="49429E8D" w14:textId="189B00C6" w:rsidR="001A5544" w:rsidRPr="001A5544" w:rsidRDefault="001A5544" w:rsidP="001A5544">
            <w:r>
              <w:t>PO Box List 14:</w:t>
            </w:r>
          </w:p>
        </w:tc>
      </w:tr>
      <w:tr w:rsidR="001A5544" w14:paraId="79BD1C4C" w14:textId="77777777" w:rsidTr="001A5544">
        <w:tc>
          <w:tcPr>
            <w:tcW w:w="5265" w:type="dxa"/>
            <w:gridSpan w:val="2"/>
          </w:tcPr>
          <w:p w14:paraId="6F28386A" w14:textId="5DC33832" w:rsidR="001A5544" w:rsidRDefault="001A5544" w:rsidP="00BB5164">
            <w:r>
              <w:t>PO Box List 05:</w:t>
            </w:r>
          </w:p>
        </w:tc>
        <w:tc>
          <w:tcPr>
            <w:tcW w:w="5265" w:type="dxa"/>
            <w:gridSpan w:val="3"/>
          </w:tcPr>
          <w:p w14:paraId="75091D7C" w14:textId="4076AE87" w:rsidR="001A5544" w:rsidRPr="001A5544" w:rsidRDefault="001A5544" w:rsidP="001A5544">
            <w:r>
              <w:t>PO Box List 15:</w:t>
            </w:r>
          </w:p>
        </w:tc>
      </w:tr>
      <w:tr w:rsidR="001A5544" w14:paraId="72B25255" w14:textId="77777777" w:rsidTr="001A5544">
        <w:tc>
          <w:tcPr>
            <w:tcW w:w="5265" w:type="dxa"/>
            <w:gridSpan w:val="2"/>
          </w:tcPr>
          <w:p w14:paraId="7DC9F756" w14:textId="0A742BA5" w:rsidR="001A5544" w:rsidRDefault="001A5544" w:rsidP="00BB5164">
            <w:r>
              <w:t>PO Box List 06:</w:t>
            </w:r>
          </w:p>
        </w:tc>
        <w:tc>
          <w:tcPr>
            <w:tcW w:w="5265" w:type="dxa"/>
            <w:gridSpan w:val="3"/>
          </w:tcPr>
          <w:p w14:paraId="48229B72" w14:textId="07DAA218" w:rsidR="001A5544" w:rsidRPr="001A5544" w:rsidRDefault="001A5544" w:rsidP="001A5544">
            <w:r>
              <w:t>PO Box List 16:</w:t>
            </w:r>
          </w:p>
        </w:tc>
      </w:tr>
      <w:tr w:rsidR="001A5544" w14:paraId="14EBFE84" w14:textId="77777777" w:rsidTr="001A5544">
        <w:tc>
          <w:tcPr>
            <w:tcW w:w="5265" w:type="dxa"/>
            <w:gridSpan w:val="2"/>
          </w:tcPr>
          <w:p w14:paraId="23C7F0F4" w14:textId="52FDEEA3" w:rsidR="001A5544" w:rsidRDefault="001A5544" w:rsidP="00BB5164">
            <w:r>
              <w:t>PO Box List 07:</w:t>
            </w:r>
          </w:p>
        </w:tc>
        <w:tc>
          <w:tcPr>
            <w:tcW w:w="5265" w:type="dxa"/>
            <w:gridSpan w:val="3"/>
          </w:tcPr>
          <w:p w14:paraId="48739370" w14:textId="38C21167" w:rsidR="001A5544" w:rsidRPr="001A5544" w:rsidRDefault="001A5544" w:rsidP="001A5544">
            <w:r>
              <w:t>PO Box List 17:</w:t>
            </w:r>
          </w:p>
        </w:tc>
      </w:tr>
      <w:tr w:rsidR="001A5544" w14:paraId="40EC5FAF" w14:textId="77777777" w:rsidTr="001A5544">
        <w:tc>
          <w:tcPr>
            <w:tcW w:w="5265" w:type="dxa"/>
            <w:gridSpan w:val="2"/>
          </w:tcPr>
          <w:p w14:paraId="6FADD56D" w14:textId="18589623" w:rsidR="001A5544" w:rsidRDefault="001A5544" w:rsidP="00BB5164">
            <w:r>
              <w:t>PO Box List 08:</w:t>
            </w:r>
          </w:p>
        </w:tc>
        <w:tc>
          <w:tcPr>
            <w:tcW w:w="5265" w:type="dxa"/>
            <w:gridSpan w:val="3"/>
          </w:tcPr>
          <w:p w14:paraId="7AE1BBBE" w14:textId="3BEA1477" w:rsidR="001A5544" w:rsidRPr="001A5544" w:rsidRDefault="001A5544" w:rsidP="001A5544">
            <w:r>
              <w:t>PO Box List 18:</w:t>
            </w:r>
          </w:p>
        </w:tc>
      </w:tr>
      <w:tr w:rsidR="001A5544" w14:paraId="6F4616BB" w14:textId="77777777" w:rsidTr="001A5544">
        <w:tc>
          <w:tcPr>
            <w:tcW w:w="5265" w:type="dxa"/>
            <w:gridSpan w:val="2"/>
          </w:tcPr>
          <w:p w14:paraId="62514782" w14:textId="73475DC1" w:rsidR="001A5544" w:rsidRDefault="001A5544" w:rsidP="00BB5164">
            <w:r>
              <w:t>PO Box List 09:</w:t>
            </w:r>
          </w:p>
        </w:tc>
        <w:tc>
          <w:tcPr>
            <w:tcW w:w="5265" w:type="dxa"/>
            <w:gridSpan w:val="3"/>
          </w:tcPr>
          <w:p w14:paraId="6331242F" w14:textId="17196D23" w:rsidR="001A5544" w:rsidRPr="001A5544" w:rsidRDefault="001A5544" w:rsidP="001A5544">
            <w:r>
              <w:t>PO Box List 19:</w:t>
            </w:r>
          </w:p>
        </w:tc>
      </w:tr>
      <w:tr w:rsidR="001A5544" w14:paraId="5A3DAC71" w14:textId="77777777" w:rsidTr="001A5544">
        <w:tc>
          <w:tcPr>
            <w:tcW w:w="5265" w:type="dxa"/>
            <w:gridSpan w:val="2"/>
          </w:tcPr>
          <w:p w14:paraId="6E8498F2" w14:textId="1608424E" w:rsidR="001A5544" w:rsidRDefault="001A5544" w:rsidP="00BB5164">
            <w:r>
              <w:t>PO Box List 10:</w:t>
            </w:r>
          </w:p>
        </w:tc>
        <w:tc>
          <w:tcPr>
            <w:tcW w:w="5265" w:type="dxa"/>
            <w:gridSpan w:val="3"/>
          </w:tcPr>
          <w:p w14:paraId="6FEC6077" w14:textId="60CC6048" w:rsidR="001A5544" w:rsidRPr="001A5544" w:rsidRDefault="001A5544" w:rsidP="001A5544">
            <w:r>
              <w:t>PO Box List 20:</w:t>
            </w:r>
          </w:p>
        </w:tc>
      </w:tr>
    </w:tbl>
    <w:p w14:paraId="7B1A1107" w14:textId="77777777" w:rsidR="002C28BE" w:rsidRDefault="002C28BE" w:rsidP="00B0455D">
      <w:pPr>
        <w:pStyle w:val="Heading1"/>
        <w:ind w:hanging="630"/>
      </w:pPr>
    </w:p>
    <w:p w14:paraId="18EDD346" w14:textId="77777777" w:rsidR="002C28BE" w:rsidRDefault="002C28BE">
      <w:pPr>
        <w:rPr>
          <w:rFonts w:asciiTheme="majorHAnsi" w:eastAsiaTheme="majorEastAsia" w:hAnsiTheme="majorHAnsi" w:cstheme="majorBidi"/>
          <w:color w:val="2F5496" w:themeColor="accent1" w:themeShade="BF"/>
          <w:sz w:val="32"/>
          <w:szCs w:val="32"/>
        </w:rPr>
      </w:pPr>
      <w:r>
        <w:br w:type="page"/>
      </w:r>
    </w:p>
    <w:p w14:paraId="12FF0413" w14:textId="320C322E" w:rsidR="00444199" w:rsidRDefault="001A5544" w:rsidP="00B0455D">
      <w:pPr>
        <w:pStyle w:val="Heading1"/>
        <w:ind w:hanging="630"/>
      </w:pPr>
      <w:r>
        <w:lastRenderedPageBreak/>
        <w:t>Name Matching</w:t>
      </w:r>
    </w:p>
    <w:p w14:paraId="7B1E2E53" w14:textId="7FB25C9C" w:rsidR="00444199" w:rsidRPr="00414B11" w:rsidRDefault="001A5544" w:rsidP="00444199">
      <w:pPr>
        <w:ind w:left="-630"/>
      </w:pPr>
      <w:r w:rsidRPr="00414B11">
        <w:t>With a successful Address Change, the program</w:t>
      </w:r>
      <w:r w:rsidR="007C7B55" w:rsidRPr="00414B11">
        <w:t xml:space="preserve"> will</w:t>
      </w:r>
      <w:r w:rsidRPr="00414B11">
        <w:t xml:space="preserve"> update </w:t>
      </w:r>
      <w:r w:rsidR="007C7B55" w:rsidRPr="00414B11">
        <w:t xml:space="preserve">the Primary Name Record at the Account Level. </w:t>
      </w:r>
      <w:r w:rsidR="005F1102" w:rsidRPr="00962472">
        <w:t>Identify if</w:t>
      </w:r>
      <w:r w:rsidR="007C7B55" w:rsidRPr="00962472">
        <w:t xml:space="preserve"> </w:t>
      </w:r>
      <w:r w:rsidRPr="00962472">
        <w:t>additional name record</w:t>
      </w:r>
      <w:r w:rsidR="00801812" w:rsidRPr="00962472">
        <w:t>s</w:t>
      </w:r>
      <w:r w:rsidR="007C7B55" w:rsidRPr="00962472">
        <w:t xml:space="preserve"> </w:t>
      </w:r>
      <w:r w:rsidR="00801812" w:rsidRPr="00962472">
        <w:t xml:space="preserve">on the same account </w:t>
      </w:r>
      <w:r w:rsidR="005F1102" w:rsidRPr="00962472">
        <w:t xml:space="preserve">should </w:t>
      </w:r>
      <w:r w:rsidR="007C7B55" w:rsidRPr="00962472">
        <w:t xml:space="preserve">also be updated </w:t>
      </w:r>
      <w:r w:rsidRPr="00962472">
        <w:t>with the new information</w:t>
      </w:r>
      <w:r w:rsidR="005F1102" w:rsidRPr="00962472">
        <w:t>.</w:t>
      </w:r>
      <w:r w:rsidR="00801812" w:rsidRPr="00414B11">
        <w:t xml:space="preserve"> </w:t>
      </w:r>
      <w:r w:rsidR="00801812" w:rsidRPr="00414B11">
        <w:rPr>
          <w:i/>
          <w:iCs/>
        </w:rPr>
        <w:t>*Note – This function itself does not update address information on name records outside of the account the member is logged into.</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FB3BB9" w14:paraId="505DAB4C" w14:textId="77777777" w:rsidTr="00ED7BF4">
        <w:tc>
          <w:tcPr>
            <w:tcW w:w="1979" w:type="dxa"/>
            <w:vAlign w:val="center"/>
          </w:tcPr>
          <w:p w14:paraId="3962EB2F" w14:textId="12D2E716" w:rsidR="00FB3BB9" w:rsidRDefault="00FB3BB9" w:rsidP="00FB3BB9">
            <w:r w:rsidRPr="00800CD1">
              <w:rPr>
                <w:b/>
                <w:bCs/>
              </w:rPr>
              <w:t>Parameter Name</w:t>
            </w:r>
          </w:p>
        </w:tc>
        <w:tc>
          <w:tcPr>
            <w:tcW w:w="4051" w:type="dxa"/>
            <w:vAlign w:val="center"/>
          </w:tcPr>
          <w:p w14:paraId="22E53C93" w14:textId="3FF80525" w:rsidR="00FB3BB9" w:rsidRPr="000A6D6C" w:rsidRDefault="00FB3BB9" w:rsidP="00FB3BB9">
            <w:r w:rsidRPr="00800CD1">
              <w:rPr>
                <w:b/>
                <w:bCs/>
              </w:rPr>
              <w:t>Parameter Description</w:t>
            </w:r>
          </w:p>
        </w:tc>
        <w:tc>
          <w:tcPr>
            <w:tcW w:w="2070" w:type="dxa"/>
            <w:vAlign w:val="center"/>
          </w:tcPr>
          <w:p w14:paraId="4F51865A" w14:textId="28EA213A" w:rsidR="00FB3BB9" w:rsidRDefault="00FB3BB9" w:rsidP="00FB3BB9">
            <w:pPr>
              <w:jc w:val="center"/>
            </w:pPr>
            <w:r w:rsidRPr="00800CD1">
              <w:rPr>
                <w:b/>
                <w:bCs/>
              </w:rPr>
              <w:t>Default Value</w:t>
            </w:r>
          </w:p>
        </w:tc>
        <w:tc>
          <w:tcPr>
            <w:tcW w:w="2430" w:type="dxa"/>
            <w:vAlign w:val="center"/>
          </w:tcPr>
          <w:p w14:paraId="059C1852" w14:textId="39097E2B" w:rsidR="00FB3BB9" w:rsidRDefault="00FB3BB9" w:rsidP="00FB3BB9">
            <w:pPr>
              <w:jc w:val="center"/>
            </w:pPr>
            <w:r w:rsidRPr="00800CD1">
              <w:rPr>
                <w:b/>
                <w:bCs/>
              </w:rPr>
              <w:t xml:space="preserve">CU </w:t>
            </w:r>
            <w:r>
              <w:rPr>
                <w:b/>
                <w:bCs/>
              </w:rPr>
              <w:t>Response</w:t>
            </w:r>
          </w:p>
        </w:tc>
      </w:tr>
      <w:tr w:rsidR="003D39DD" w14:paraId="3EEBA9A5" w14:textId="77777777" w:rsidTr="00ED7BF4">
        <w:tc>
          <w:tcPr>
            <w:tcW w:w="1979" w:type="dxa"/>
          </w:tcPr>
          <w:p w14:paraId="7C7937D3" w14:textId="36E7B1C6" w:rsidR="003D39DD" w:rsidRPr="00414B11" w:rsidRDefault="001A5544" w:rsidP="003D39DD">
            <w:r w:rsidRPr="00414B11">
              <w:t>Name Matching Levels:</w:t>
            </w:r>
          </w:p>
        </w:tc>
        <w:tc>
          <w:tcPr>
            <w:tcW w:w="4051" w:type="dxa"/>
          </w:tcPr>
          <w:p w14:paraId="24F6D3FB" w14:textId="24E474C5" w:rsidR="00340ECA" w:rsidRPr="00414B11" w:rsidRDefault="00ED7BF4" w:rsidP="00152297">
            <w:r w:rsidRPr="00414B11">
              <w:t>Name matching will find all the allowed name records with an address that exactly matches the one the user sees in Banno settings and changes them all at once. Provide the name record locations you wish to automatically update with new address information.</w:t>
            </w:r>
            <w:r w:rsidR="00FD7A8D" w:rsidRPr="00414B11">
              <w:t xml:space="preserve"> “NONE” will revert to use of Tracking 8 linking.</w:t>
            </w:r>
          </w:p>
          <w:p w14:paraId="515F8639" w14:textId="5B2B3E03" w:rsidR="003D39DD" w:rsidRPr="00414B11" w:rsidRDefault="00152297" w:rsidP="00152297">
            <w:r w:rsidRPr="00414B11">
              <w:br/>
            </w:r>
            <w:bookmarkStart w:id="2" w:name="_Hlk156291971"/>
            <w:r w:rsidR="000A6D6C" w:rsidRPr="00414B11">
              <w:rPr>
                <w:b/>
                <w:bCs/>
              </w:rPr>
              <w:t>Valid Values</w:t>
            </w:r>
            <w:r w:rsidR="000A6D6C" w:rsidRPr="00414B11">
              <w:t xml:space="preserve">: </w:t>
            </w:r>
            <w:r w:rsidR="001A5544" w:rsidRPr="00414B11">
              <w:t>ACCOUNT,</w:t>
            </w:r>
            <w:r w:rsidR="0076705A" w:rsidRPr="00414B11">
              <w:t xml:space="preserve"> </w:t>
            </w:r>
            <w:r w:rsidR="001A5544" w:rsidRPr="00414B11">
              <w:t>SHARE, IRS, LOAN, PLEDGE, EFT, CARD, EXTERNAL, ALL, NONE</w:t>
            </w:r>
            <w:bookmarkEnd w:id="2"/>
          </w:p>
        </w:tc>
        <w:tc>
          <w:tcPr>
            <w:tcW w:w="2070" w:type="dxa"/>
            <w:vAlign w:val="center"/>
          </w:tcPr>
          <w:p w14:paraId="4F124CCC" w14:textId="00E71A43" w:rsidR="000A6D6C" w:rsidRDefault="001A5544" w:rsidP="000A6D6C">
            <w:pPr>
              <w:jc w:val="center"/>
            </w:pPr>
            <w:r>
              <w:t>MN</w:t>
            </w:r>
            <w:r w:rsidR="000A6D6C">
              <w:t>:</w:t>
            </w:r>
            <w:r w:rsidR="00CF3623">
              <w:t xml:space="preserve"> </w:t>
            </w:r>
            <w:r w:rsidRPr="00075A5D">
              <w:t>ACCOUNT</w:t>
            </w:r>
          </w:p>
          <w:p w14:paraId="58AD1A30" w14:textId="4B80B54B" w:rsidR="003D39DD" w:rsidRDefault="003D39DD" w:rsidP="000A6D6C">
            <w:pPr>
              <w:jc w:val="center"/>
            </w:pPr>
          </w:p>
        </w:tc>
        <w:tc>
          <w:tcPr>
            <w:tcW w:w="2430" w:type="dxa"/>
            <w:vAlign w:val="center"/>
          </w:tcPr>
          <w:p w14:paraId="03D28958" w14:textId="4C86841C" w:rsidR="003D39DD" w:rsidRDefault="001A5544" w:rsidP="00DF69DE">
            <w:r>
              <w:t>MN</w:t>
            </w:r>
            <w:r w:rsidR="000A6D6C">
              <w:t>:</w:t>
            </w:r>
            <w:r w:rsidR="00CF3623">
              <w:t xml:space="preserve"> </w:t>
            </w:r>
            <w:r w:rsidR="00CF3623">
              <w:br/>
            </w:r>
          </w:p>
        </w:tc>
      </w:tr>
      <w:tr w:rsidR="00152297" w14:paraId="7970CE26" w14:textId="77777777" w:rsidTr="00ED7BF4">
        <w:tc>
          <w:tcPr>
            <w:tcW w:w="1979" w:type="dxa"/>
          </w:tcPr>
          <w:p w14:paraId="3DD12CD1" w14:textId="4E7B9B7C" w:rsidR="00152297" w:rsidRDefault="00ED7BF4" w:rsidP="00152297">
            <w:r>
              <w:t>Match Name Types:</w:t>
            </w:r>
          </w:p>
        </w:tc>
        <w:tc>
          <w:tcPr>
            <w:tcW w:w="4051" w:type="dxa"/>
          </w:tcPr>
          <w:p w14:paraId="22C5AA36" w14:textId="1C27ED0C" w:rsidR="00340ECA" w:rsidRPr="00414B11" w:rsidRDefault="00ED7BF4" w:rsidP="00152297">
            <w:pPr>
              <w:rPr>
                <w:strike/>
              </w:rPr>
            </w:pPr>
            <w:r w:rsidRPr="00414B11">
              <w:t xml:space="preserve">Enter the list of the name types that can be updated with the new address if matched. See below for a complete list of name types and the associated numeric value. </w:t>
            </w:r>
          </w:p>
          <w:p w14:paraId="1CB12046" w14:textId="2C2F0453" w:rsidR="00CC022B" w:rsidRPr="000A6D6C" w:rsidRDefault="00ED7BF4" w:rsidP="00152297">
            <w:r w:rsidRPr="00414B11">
              <w:br/>
            </w:r>
            <w:bookmarkStart w:id="3" w:name="_Hlk156292047"/>
            <w:r w:rsidRPr="00414B11">
              <w:rPr>
                <w:b/>
                <w:bCs/>
              </w:rPr>
              <w:t>Valid Values:</w:t>
            </w:r>
            <w:r w:rsidRPr="00414B11">
              <w:t xml:space="preserve"> 0-99, ALL</w:t>
            </w:r>
            <w:bookmarkEnd w:id="3"/>
            <w:r w:rsidR="00FD7A8D" w:rsidRPr="00414B11">
              <w:t>, NONE</w:t>
            </w:r>
          </w:p>
        </w:tc>
        <w:tc>
          <w:tcPr>
            <w:tcW w:w="2070" w:type="dxa"/>
            <w:vAlign w:val="center"/>
          </w:tcPr>
          <w:p w14:paraId="522FE8CF" w14:textId="2E9CA81D" w:rsidR="00152297" w:rsidRDefault="00ED7BF4" w:rsidP="00152297">
            <w:pPr>
              <w:jc w:val="center"/>
            </w:pPr>
            <w:r>
              <w:t>MT:</w:t>
            </w:r>
            <w:r w:rsidRPr="00075A5D">
              <w:t xml:space="preserve"> 0</w:t>
            </w:r>
          </w:p>
        </w:tc>
        <w:tc>
          <w:tcPr>
            <w:tcW w:w="2430" w:type="dxa"/>
            <w:vAlign w:val="center"/>
          </w:tcPr>
          <w:p w14:paraId="13031CB4" w14:textId="4B123C74" w:rsidR="00152297" w:rsidRDefault="00ED7BF4" w:rsidP="00DF69DE">
            <w:r>
              <w:t>MT</w:t>
            </w:r>
            <w:r w:rsidR="00152297">
              <w:t>:</w:t>
            </w:r>
          </w:p>
        </w:tc>
      </w:tr>
    </w:tbl>
    <w:p w14:paraId="4B649F2F" w14:textId="77777777" w:rsidR="00ED7BF4" w:rsidRDefault="00ED7BF4"/>
    <w:tbl>
      <w:tblPr>
        <w:tblStyle w:val="TableGrid"/>
        <w:tblW w:w="10530" w:type="dxa"/>
        <w:tblInd w:w="-635" w:type="dxa"/>
        <w:tblLayout w:type="fixed"/>
        <w:tblLook w:val="04A0" w:firstRow="1" w:lastRow="0" w:firstColumn="1" w:lastColumn="0" w:noHBand="0" w:noVBand="1"/>
      </w:tblPr>
      <w:tblGrid>
        <w:gridCol w:w="1890"/>
        <w:gridCol w:w="3510"/>
        <w:gridCol w:w="1980"/>
        <w:gridCol w:w="3150"/>
      </w:tblGrid>
      <w:tr w:rsidR="00ED7BF4" w14:paraId="65128ABE" w14:textId="77777777" w:rsidTr="007831E2">
        <w:tc>
          <w:tcPr>
            <w:tcW w:w="10530" w:type="dxa"/>
            <w:gridSpan w:val="4"/>
          </w:tcPr>
          <w:p w14:paraId="38F689D5" w14:textId="04A2C5B0" w:rsidR="00ED7BF4" w:rsidRPr="006D22CF" w:rsidRDefault="00ED7BF4" w:rsidP="0015305A">
            <w:pPr>
              <w:jc w:val="center"/>
              <w:rPr>
                <w:b/>
                <w:bCs/>
              </w:rPr>
            </w:pPr>
            <w:r>
              <w:rPr>
                <w:b/>
                <w:bCs/>
              </w:rPr>
              <w:t xml:space="preserve">Symitar Name Types </w:t>
            </w:r>
          </w:p>
        </w:tc>
      </w:tr>
      <w:tr w:rsidR="00ED7BF4" w14:paraId="37666E57" w14:textId="77777777" w:rsidTr="00C44318">
        <w:tc>
          <w:tcPr>
            <w:tcW w:w="1890" w:type="dxa"/>
            <w:vAlign w:val="center"/>
          </w:tcPr>
          <w:p w14:paraId="1FCE44BE" w14:textId="77777777" w:rsidR="00ED7BF4" w:rsidRPr="006D22CF" w:rsidRDefault="00ED7BF4" w:rsidP="00ED7BF4">
            <w:pPr>
              <w:jc w:val="center"/>
              <w:rPr>
                <w:b/>
                <w:bCs/>
              </w:rPr>
            </w:pPr>
            <w:r w:rsidRPr="006D22CF">
              <w:rPr>
                <w:b/>
                <w:bCs/>
              </w:rPr>
              <w:t>Numeric</w:t>
            </w:r>
            <w:r w:rsidRPr="006D22CF">
              <w:rPr>
                <w:b/>
                <w:bCs/>
              </w:rPr>
              <w:br/>
              <w:t>Value</w:t>
            </w:r>
          </w:p>
        </w:tc>
        <w:tc>
          <w:tcPr>
            <w:tcW w:w="3510" w:type="dxa"/>
            <w:vAlign w:val="center"/>
          </w:tcPr>
          <w:p w14:paraId="472FEC6A" w14:textId="77777777" w:rsidR="00ED7BF4" w:rsidRPr="006D22CF" w:rsidRDefault="00ED7BF4" w:rsidP="00ED7BF4">
            <w:pPr>
              <w:jc w:val="center"/>
              <w:rPr>
                <w:b/>
                <w:bCs/>
              </w:rPr>
            </w:pPr>
            <w:r w:rsidRPr="006D22CF">
              <w:rPr>
                <w:b/>
                <w:bCs/>
              </w:rPr>
              <w:t>Description</w:t>
            </w:r>
          </w:p>
        </w:tc>
        <w:tc>
          <w:tcPr>
            <w:tcW w:w="1980" w:type="dxa"/>
            <w:vAlign w:val="center"/>
          </w:tcPr>
          <w:p w14:paraId="148D6B9D" w14:textId="77777777" w:rsidR="00ED7BF4" w:rsidRPr="006D22CF" w:rsidRDefault="00ED7BF4" w:rsidP="00ED7BF4">
            <w:pPr>
              <w:jc w:val="center"/>
              <w:rPr>
                <w:b/>
                <w:bCs/>
              </w:rPr>
            </w:pPr>
            <w:r w:rsidRPr="006D22CF">
              <w:rPr>
                <w:b/>
                <w:bCs/>
              </w:rPr>
              <w:t>Numeric</w:t>
            </w:r>
            <w:r w:rsidRPr="006D22CF">
              <w:rPr>
                <w:b/>
                <w:bCs/>
              </w:rPr>
              <w:br/>
              <w:t>Value</w:t>
            </w:r>
          </w:p>
        </w:tc>
        <w:tc>
          <w:tcPr>
            <w:tcW w:w="3150" w:type="dxa"/>
            <w:vAlign w:val="center"/>
          </w:tcPr>
          <w:p w14:paraId="106615FE" w14:textId="77777777" w:rsidR="00ED7BF4" w:rsidRPr="006D22CF" w:rsidRDefault="00ED7BF4" w:rsidP="00ED7BF4">
            <w:pPr>
              <w:jc w:val="center"/>
              <w:rPr>
                <w:b/>
                <w:bCs/>
              </w:rPr>
            </w:pPr>
            <w:r w:rsidRPr="006D22CF">
              <w:rPr>
                <w:b/>
                <w:bCs/>
              </w:rPr>
              <w:t>Description</w:t>
            </w:r>
          </w:p>
        </w:tc>
      </w:tr>
      <w:tr w:rsidR="00ED7BF4" w14:paraId="350EF88B" w14:textId="77777777" w:rsidTr="00C44318">
        <w:tc>
          <w:tcPr>
            <w:tcW w:w="1890" w:type="dxa"/>
          </w:tcPr>
          <w:p w14:paraId="6FA3DADE" w14:textId="77777777" w:rsidR="00ED7BF4" w:rsidRDefault="00ED7BF4" w:rsidP="0015305A">
            <w:pPr>
              <w:jc w:val="center"/>
            </w:pPr>
            <w:r>
              <w:rPr>
                <w:rFonts w:ascii="Calibri" w:hAnsi="Calibri" w:cs="Calibri"/>
                <w:color w:val="000000"/>
              </w:rPr>
              <w:t>0</w:t>
            </w:r>
          </w:p>
        </w:tc>
        <w:tc>
          <w:tcPr>
            <w:tcW w:w="3510" w:type="dxa"/>
          </w:tcPr>
          <w:p w14:paraId="7C1059A0" w14:textId="77777777" w:rsidR="00ED7BF4" w:rsidRDefault="00ED7BF4" w:rsidP="0015305A">
            <w:r>
              <w:rPr>
                <w:rFonts w:ascii="Calibri" w:hAnsi="Calibri" w:cs="Calibri"/>
                <w:color w:val="000000"/>
              </w:rPr>
              <w:t xml:space="preserve"> Primary</w:t>
            </w:r>
          </w:p>
        </w:tc>
        <w:tc>
          <w:tcPr>
            <w:tcW w:w="1980" w:type="dxa"/>
          </w:tcPr>
          <w:p w14:paraId="1A4B4D62" w14:textId="77777777" w:rsidR="00ED7BF4" w:rsidRDefault="00ED7BF4" w:rsidP="0015305A">
            <w:pPr>
              <w:jc w:val="center"/>
            </w:pPr>
            <w:r>
              <w:rPr>
                <w:rFonts w:ascii="Calibri" w:hAnsi="Calibri" w:cs="Calibri"/>
                <w:color w:val="000000"/>
              </w:rPr>
              <w:t>16</w:t>
            </w:r>
          </w:p>
        </w:tc>
        <w:tc>
          <w:tcPr>
            <w:tcW w:w="3150" w:type="dxa"/>
          </w:tcPr>
          <w:p w14:paraId="55E45EA0" w14:textId="77777777" w:rsidR="00ED7BF4" w:rsidRDefault="00ED7BF4" w:rsidP="0015305A">
            <w:r>
              <w:rPr>
                <w:rFonts w:ascii="Calibri" w:hAnsi="Calibri" w:cs="Calibri"/>
                <w:color w:val="000000"/>
              </w:rPr>
              <w:t xml:space="preserve"> Guarantor</w:t>
            </w:r>
          </w:p>
        </w:tc>
      </w:tr>
      <w:tr w:rsidR="00ED7BF4" w14:paraId="3915CB73" w14:textId="77777777" w:rsidTr="00C44318">
        <w:tc>
          <w:tcPr>
            <w:tcW w:w="1890" w:type="dxa"/>
          </w:tcPr>
          <w:p w14:paraId="1A61ACDD" w14:textId="77777777" w:rsidR="00ED7BF4" w:rsidRDefault="00ED7BF4" w:rsidP="0015305A">
            <w:pPr>
              <w:jc w:val="center"/>
            </w:pPr>
            <w:r>
              <w:rPr>
                <w:rFonts w:ascii="Calibri" w:hAnsi="Calibri" w:cs="Calibri"/>
                <w:color w:val="000000"/>
              </w:rPr>
              <w:t>1</w:t>
            </w:r>
          </w:p>
        </w:tc>
        <w:tc>
          <w:tcPr>
            <w:tcW w:w="3510" w:type="dxa"/>
          </w:tcPr>
          <w:p w14:paraId="30314EE3" w14:textId="77777777" w:rsidR="00ED7BF4" w:rsidRDefault="00ED7BF4" w:rsidP="0015305A">
            <w:r>
              <w:rPr>
                <w:rFonts w:ascii="Calibri" w:hAnsi="Calibri" w:cs="Calibri"/>
                <w:color w:val="000000"/>
              </w:rPr>
              <w:t xml:space="preserve"> Joint</w:t>
            </w:r>
          </w:p>
        </w:tc>
        <w:tc>
          <w:tcPr>
            <w:tcW w:w="1980" w:type="dxa"/>
          </w:tcPr>
          <w:p w14:paraId="6EAC2192" w14:textId="77777777" w:rsidR="00ED7BF4" w:rsidRDefault="00ED7BF4" w:rsidP="0015305A">
            <w:pPr>
              <w:jc w:val="center"/>
            </w:pPr>
            <w:r>
              <w:rPr>
                <w:rFonts w:ascii="Calibri" w:hAnsi="Calibri" w:cs="Calibri"/>
                <w:color w:val="000000"/>
              </w:rPr>
              <w:t>17</w:t>
            </w:r>
          </w:p>
        </w:tc>
        <w:tc>
          <w:tcPr>
            <w:tcW w:w="3150" w:type="dxa"/>
          </w:tcPr>
          <w:p w14:paraId="5C90C656" w14:textId="77777777" w:rsidR="00ED7BF4" w:rsidRDefault="00ED7BF4" w:rsidP="0015305A">
            <w:r>
              <w:rPr>
                <w:rFonts w:ascii="Calibri" w:hAnsi="Calibri" w:cs="Calibri"/>
                <w:color w:val="000000"/>
              </w:rPr>
              <w:t xml:space="preserve"> Loan Co-Maker</w:t>
            </w:r>
          </w:p>
        </w:tc>
      </w:tr>
      <w:tr w:rsidR="00ED7BF4" w14:paraId="69E5AB1A" w14:textId="77777777" w:rsidTr="00C44318">
        <w:tc>
          <w:tcPr>
            <w:tcW w:w="1890" w:type="dxa"/>
          </w:tcPr>
          <w:p w14:paraId="142ADE6F" w14:textId="77777777" w:rsidR="00ED7BF4" w:rsidRDefault="00ED7BF4" w:rsidP="0015305A">
            <w:pPr>
              <w:jc w:val="center"/>
            </w:pPr>
            <w:r>
              <w:rPr>
                <w:rFonts w:ascii="Calibri" w:hAnsi="Calibri" w:cs="Calibri"/>
                <w:color w:val="000000"/>
              </w:rPr>
              <w:t>2</w:t>
            </w:r>
          </w:p>
        </w:tc>
        <w:tc>
          <w:tcPr>
            <w:tcW w:w="3510" w:type="dxa"/>
          </w:tcPr>
          <w:p w14:paraId="4BA41221" w14:textId="77777777" w:rsidR="00ED7BF4" w:rsidRDefault="00ED7BF4" w:rsidP="0015305A">
            <w:r>
              <w:rPr>
                <w:rFonts w:ascii="Calibri" w:hAnsi="Calibri" w:cs="Calibri"/>
                <w:color w:val="000000"/>
              </w:rPr>
              <w:t xml:space="preserve"> Mailing Only</w:t>
            </w:r>
          </w:p>
        </w:tc>
        <w:tc>
          <w:tcPr>
            <w:tcW w:w="1980" w:type="dxa"/>
          </w:tcPr>
          <w:p w14:paraId="7058529A" w14:textId="77777777" w:rsidR="00ED7BF4" w:rsidRDefault="00ED7BF4" w:rsidP="0015305A">
            <w:pPr>
              <w:jc w:val="center"/>
            </w:pPr>
            <w:r>
              <w:rPr>
                <w:rFonts w:ascii="Calibri" w:hAnsi="Calibri" w:cs="Calibri"/>
                <w:color w:val="000000"/>
              </w:rPr>
              <w:t>18</w:t>
            </w:r>
          </w:p>
        </w:tc>
        <w:tc>
          <w:tcPr>
            <w:tcW w:w="3150" w:type="dxa"/>
          </w:tcPr>
          <w:p w14:paraId="0765DD41" w14:textId="77777777" w:rsidR="00ED7BF4" w:rsidRDefault="00ED7BF4" w:rsidP="0015305A">
            <w:r>
              <w:rPr>
                <w:rFonts w:ascii="Calibri" w:hAnsi="Calibri" w:cs="Calibri"/>
                <w:color w:val="000000"/>
              </w:rPr>
              <w:t xml:space="preserve"> Loan Co-Applicant</w:t>
            </w:r>
          </w:p>
        </w:tc>
      </w:tr>
      <w:tr w:rsidR="00ED7BF4" w14:paraId="5E6FDB02" w14:textId="77777777" w:rsidTr="00C44318">
        <w:tc>
          <w:tcPr>
            <w:tcW w:w="1890" w:type="dxa"/>
          </w:tcPr>
          <w:p w14:paraId="2AE1EFE5" w14:textId="77777777" w:rsidR="00ED7BF4" w:rsidRDefault="00ED7BF4" w:rsidP="0015305A">
            <w:pPr>
              <w:jc w:val="center"/>
            </w:pPr>
            <w:r>
              <w:rPr>
                <w:rFonts w:ascii="Calibri" w:hAnsi="Calibri" w:cs="Calibri"/>
                <w:color w:val="000000"/>
              </w:rPr>
              <w:t>3</w:t>
            </w:r>
          </w:p>
        </w:tc>
        <w:tc>
          <w:tcPr>
            <w:tcW w:w="3510" w:type="dxa"/>
          </w:tcPr>
          <w:p w14:paraId="38BCE9CD" w14:textId="77777777" w:rsidR="00ED7BF4" w:rsidRDefault="00ED7BF4" w:rsidP="0015305A">
            <w:r>
              <w:rPr>
                <w:rFonts w:ascii="Calibri" w:hAnsi="Calibri" w:cs="Calibri"/>
                <w:color w:val="000000"/>
              </w:rPr>
              <w:t xml:space="preserve"> Alternate Mailing</w:t>
            </w:r>
          </w:p>
        </w:tc>
        <w:tc>
          <w:tcPr>
            <w:tcW w:w="1980" w:type="dxa"/>
          </w:tcPr>
          <w:p w14:paraId="42622D7F" w14:textId="77777777" w:rsidR="00ED7BF4" w:rsidRDefault="00ED7BF4" w:rsidP="0015305A">
            <w:pPr>
              <w:jc w:val="center"/>
            </w:pPr>
            <w:r>
              <w:rPr>
                <w:rFonts w:ascii="Calibri" w:hAnsi="Calibri" w:cs="Calibri"/>
                <w:color w:val="000000"/>
              </w:rPr>
              <w:t>19</w:t>
            </w:r>
          </w:p>
        </w:tc>
        <w:tc>
          <w:tcPr>
            <w:tcW w:w="3150" w:type="dxa"/>
          </w:tcPr>
          <w:p w14:paraId="4B783AAD" w14:textId="77777777" w:rsidR="00ED7BF4" w:rsidRDefault="00ED7BF4" w:rsidP="0015305A">
            <w:r>
              <w:rPr>
                <w:rFonts w:ascii="Calibri" w:hAnsi="Calibri" w:cs="Calibri"/>
                <w:color w:val="000000"/>
              </w:rPr>
              <w:t xml:space="preserve"> Trustor</w:t>
            </w:r>
          </w:p>
        </w:tc>
      </w:tr>
      <w:tr w:rsidR="00ED7BF4" w14:paraId="2A0AEA0B" w14:textId="77777777" w:rsidTr="00C44318">
        <w:tc>
          <w:tcPr>
            <w:tcW w:w="1890" w:type="dxa"/>
          </w:tcPr>
          <w:p w14:paraId="0431C59B" w14:textId="77777777" w:rsidR="00ED7BF4" w:rsidRDefault="00ED7BF4" w:rsidP="0015305A">
            <w:pPr>
              <w:jc w:val="center"/>
            </w:pPr>
            <w:r>
              <w:rPr>
                <w:rFonts w:ascii="Calibri" w:hAnsi="Calibri" w:cs="Calibri"/>
                <w:color w:val="000000"/>
              </w:rPr>
              <w:t>4</w:t>
            </w:r>
          </w:p>
        </w:tc>
        <w:tc>
          <w:tcPr>
            <w:tcW w:w="3510" w:type="dxa"/>
          </w:tcPr>
          <w:p w14:paraId="047671AD" w14:textId="77777777" w:rsidR="00ED7BF4" w:rsidRDefault="00ED7BF4" w:rsidP="0015305A">
            <w:r>
              <w:rPr>
                <w:rFonts w:ascii="Calibri" w:hAnsi="Calibri" w:cs="Calibri"/>
                <w:color w:val="000000"/>
              </w:rPr>
              <w:t xml:space="preserve"> Beneficiary</w:t>
            </w:r>
          </w:p>
        </w:tc>
        <w:tc>
          <w:tcPr>
            <w:tcW w:w="1980" w:type="dxa"/>
          </w:tcPr>
          <w:p w14:paraId="4EF3AD53" w14:textId="77777777" w:rsidR="00ED7BF4" w:rsidRDefault="00ED7BF4" w:rsidP="0015305A">
            <w:pPr>
              <w:jc w:val="center"/>
            </w:pPr>
            <w:r>
              <w:rPr>
                <w:rFonts w:ascii="Calibri" w:hAnsi="Calibri" w:cs="Calibri"/>
                <w:color w:val="000000"/>
              </w:rPr>
              <w:t>20</w:t>
            </w:r>
          </w:p>
        </w:tc>
        <w:tc>
          <w:tcPr>
            <w:tcW w:w="3150" w:type="dxa"/>
          </w:tcPr>
          <w:p w14:paraId="754D1AD2" w14:textId="77777777" w:rsidR="00ED7BF4" w:rsidRDefault="00ED7BF4" w:rsidP="0015305A">
            <w:r>
              <w:rPr>
                <w:rFonts w:ascii="Calibri" w:hAnsi="Calibri" w:cs="Calibri"/>
                <w:color w:val="000000"/>
              </w:rPr>
              <w:t xml:space="preserve"> Co-Borrower</w:t>
            </w:r>
          </w:p>
        </w:tc>
      </w:tr>
      <w:tr w:rsidR="00ED7BF4" w14:paraId="018AD996" w14:textId="77777777" w:rsidTr="00C44318">
        <w:tc>
          <w:tcPr>
            <w:tcW w:w="1890" w:type="dxa"/>
          </w:tcPr>
          <w:p w14:paraId="7FC1764B" w14:textId="77777777" w:rsidR="00ED7BF4" w:rsidRDefault="00ED7BF4" w:rsidP="0015305A">
            <w:pPr>
              <w:jc w:val="center"/>
            </w:pPr>
            <w:r>
              <w:rPr>
                <w:rFonts w:ascii="Calibri" w:hAnsi="Calibri" w:cs="Calibri"/>
                <w:color w:val="000000"/>
              </w:rPr>
              <w:t>5</w:t>
            </w:r>
          </w:p>
        </w:tc>
        <w:tc>
          <w:tcPr>
            <w:tcW w:w="3510" w:type="dxa"/>
          </w:tcPr>
          <w:p w14:paraId="3BE41455" w14:textId="77777777" w:rsidR="00ED7BF4" w:rsidRDefault="00ED7BF4" w:rsidP="0015305A">
            <w:r>
              <w:rPr>
                <w:rFonts w:ascii="Calibri" w:hAnsi="Calibri" w:cs="Calibri"/>
                <w:color w:val="000000"/>
              </w:rPr>
              <w:t xml:space="preserve"> Custodian</w:t>
            </w:r>
          </w:p>
        </w:tc>
        <w:tc>
          <w:tcPr>
            <w:tcW w:w="1980" w:type="dxa"/>
          </w:tcPr>
          <w:p w14:paraId="37ECC8BC" w14:textId="77777777" w:rsidR="00ED7BF4" w:rsidRDefault="00ED7BF4" w:rsidP="0015305A">
            <w:pPr>
              <w:jc w:val="center"/>
            </w:pPr>
            <w:r>
              <w:rPr>
                <w:rFonts w:ascii="Calibri" w:hAnsi="Calibri" w:cs="Calibri"/>
                <w:color w:val="000000"/>
              </w:rPr>
              <w:t>21</w:t>
            </w:r>
          </w:p>
        </w:tc>
        <w:tc>
          <w:tcPr>
            <w:tcW w:w="3150" w:type="dxa"/>
          </w:tcPr>
          <w:p w14:paraId="11DDB58F" w14:textId="77777777" w:rsidR="00ED7BF4" w:rsidRDefault="00ED7BF4" w:rsidP="0015305A">
            <w:r>
              <w:rPr>
                <w:rFonts w:ascii="Calibri" w:hAnsi="Calibri" w:cs="Calibri"/>
                <w:color w:val="000000"/>
              </w:rPr>
              <w:t xml:space="preserve"> Co-Signer</w:t>
            </w:r>
          </w:p>
        </w:tc>
      </w:tr>
      <w:tr w:rsidR="00ED7BF4" w14:paraId="65401239" w14:textId="77777777" w:rsidTr="00C44318">
        <w:tc>
          <w:tcPr>
            <w:tcW w:w="1890" w:type="dxa"/>
          </w:tcPr>
          <w:p w14:paraId="46CA1088" w14:textId="77777777" w:rsidR="00ED7BF4" w:rsidRDefault="00ED7BF4" w:rsidP="0015305A">
            <w:pPr>
              <w:jc w:val="center"/>
            </w:pPr>
            <w:r>
              <w:rPr>
                <w:rFonts w:ascii="Calibri" w:hAnsi="Calibri" w:cs="Calibri"/>
                <w:color w:val="000000"/>
              </w:rPr>
              <w:t>6</w:t>
            </w:r>
          </w:p>
        </w:tc>
        <w:tc>
          <w:tcPr>
            <w:tcW w:w="3510" w:type="dxa"/>
          </w:tcPr>
          <w:p w14:paraId="50E8FE5C" w14:textId="77777777" w:rsidR="00ED7BF4" w:rsidRDefault="00ED7BF4" w:rsidP="0015305A">
            <w:r>
              <w:rPr>
                <w:rFonts w:ascii="Calibri" w:hAnsi="Calibri" w:cs="Calibri"/>
                <w:color w:val="000000"/>
              </w:rPr>
              <w:t xml:space="preserve"> Trustee</w:t>
            </w:r>
          </w:p>
        </w:tc>
        <w:tc>
          <w:tcPr>
            <w:tcW w:w="1980" w:type="dxa"/>
          </w:tcPr>
          <w:p w14:paraId="1572E345" w14:textId="77777777" w:rsidR="00ED7BF4" w:rsidRDefault="00ED7BF4" w:rsidP="0015305A">
            <w:pPr>
              <w:jc w:val="center"/>
            </w:pPr>
            <w:r>
              <w:rPr>
                <w:rFonts w:ascii="Calibri" w:hAnsi="Calibri" w:cs="Calibri"/>
                <w:color w:val="000000"/>
              </w:rPr>
              <w:t>22</w:t>
            </w:r>
          </w:p>
        </w:tc>
        <w:tc>
          <w:tcPr>
            <w:tcW w:w="3150" w:type="dxa"/>
          </w:tcPr>
          <w:p w14:paraId="73858B5B" w14:textId="77777777" w:rsidR="00ED7BF4" w:rsidRDefault="00ED7BF4" w:rsidP="0015305A">
            <w:r>
              <w:rPr>
                <w:rFonts w:ascii="Calibri" w:hAnsi="Calibri" w:cs="Calibri"/>
                <w:color w:val="000000"/>
              </w:rPr>
              <w:t xml:space="preserve"> CTR Owner Address/ID</w:t>
            </w:r>
          </w:p>
        </w:tc>
      </w:tr>
      <w:tr w:rsidR="00ED7BF4" w14:paraId="0093CA94" w14:textId="77777777" w:rsidTr="00C44318">
        <w:tc>
          <w:tcPr>
            <w:tcW w:w="1890" w:type="dxa"/>
          </w:tcPr>
          <w:p w14:paraId="660811C3" w14:textId="77777777" w:rsidR="00ED7BF4" w:rsidRDefault="00ED7BF4" w:rsidP="0015305A">
            <w:pPr>
              <w:jc w:val="center"/>
            </w:pPr>
            <w:r>
              <w:rPr>
                <w:rFonts w:ascii="Calibri" w:hAnsi="Calibri" w:cs="Calibri"/>
                <w:color w:val="000000"/>
              </w:rPr>
              <w:t>7</w:t>
            </w:r>
          </w:p>
        </w:tc>
        <w:tc>
          <w:tcPr>
            <w:tcW w:w="3510" w:type="dxa"/>
          </w:tcPr>
          <w:p w14:paraId="5E9E45BF" w14:textId="77777777" w:rsidR="00ED7BF4" w:rsidRDefault="00ED7BF4" w:rsidP="0015305A">
            <w:r>
              <w:rPr>
                <w:rFonts w:ascii="Calibri" w:hAnsi="Calibri" w:cs="Calibri"/>
                <w:color w:val="000000"/>
              </w:rPr>
              <w:t xml:space="preserve"> Responsible Individual</w:t>
            </w:r>
          </w:p>
        </w:tc>
        <w:tc>
          <w:tcPr>
            <w:tcW w:w="1980" w:type="dxa"/>
          </w:tcPr>
          <w:p w14:paraId="78E69D67" w14:textId="77777777" w:rsidR="00ED7BF4" w:rsidRDefault="00ED7BF4" w:rsidP="0015305A">
            <w:pPr>
              <w:jc w:val="center"/>
            </w:pPr>
            <w:r>
              <w:rPr>
                <w:rFonts w:ascii="Calibri" w:hAnsi="Calibri" w:cs="Calibri"/>
                <w:color w:val="000000"/>
              </w:rPr>
              <w:t>23</w:t>
            </w:r>
          </w:p>
        </w:tc>
        <w:tc>
          <w:tcPr>
            <w:tcW w:w="3150" w:type="dxa"/>
          </w:tcPr>
          <w:p w14:paraId="423183A3" w14:textId="77777777" w:rsidR="00ED7BF4" w:rsidRDefault="00ED7BF4" w:rsidP="0015305A">
            <w:r>
              <w:rPr>
                <w:rFonts w:ascii="Calibri" w:hAnsi="Calibri" w:cs="Calibri"/>
                <w:color w:val="000000"/>
              </w:rPr>
              <w:t xml:space="preserve"> CTR Transactor</w:t>
            </w:r>
          </w:p>
        </w:tc>
      </w:tr>
      <w:tr w:rsidR="00ED7BF4" w14:paraId="59102590" w14:textId="77777777" w:rsidTr="00C44318">
        <w:tc>
          <w:tcPr>
            <w:tcW w:w="1890" w:type="dxa"/>
          </w:tcPr>
          <w:p w14:paraId="40CF3262" w14:textId="77777777" w:rsidR="00ED7BF4" w:rsidRDefault="00ED7BF4" w:rsidP="0015305A">
            <w:pPr>
              <w:jc w:val="center"/>
            </w:pPr>
            <w:r>
              <w:rPr>
                <w:rFonts w:ascii="Calibri" w:hAnsi="Calibri" w:cs="Calibri"/>
                <w:color w:val="000000"/>
              </w:rPr>
              <w:t>8</w:t>
            </w:r>
          </w:p>
        </w:tc>
        <w:tc>
          <w:tcPr>
            <w:tcW w:w="3510" w:type="dxa"/>
          </w:tcPr>
          <w:p w14:paraId="67CCB04B" w14:textId="77777777" w:rsidR="00ED7BF4" w:rsidRDefault="00ED7BF4" w:rsidP="0015305A">
            <w:r>
              <w:rPr>
                <w:rFonts w:ascii="Calibri" w:hAnsi="Calibri" w:cs="Calibri"/>
                <w:color w:val="000000"/>
              </w:rPr>
              <w:t xml:space="preserve"> Power of Attorney</w:t>
            </w:r>
          </w:p>
        </w:tc>
        <w:tc>
          <w:tcPr>
            <w:tcW w:w="1980" w:type="dxa"/>
          </w:tcPr>
          <w:p w14:paraId="3294189F" w14:textId="77777777" w:rsidR="00ED7BF4" w:rsidRDefault="00ED7BF4" w:rsidP="0015305A">
            <w:pPr>
              <w:jc w:val="center"/>
            </w:pPr>
            <w:r>
              <w:rPr>
                <w:rFonts w:ascii="Calibri" w:hAnsi="Calibri" w:cs="Calibri"/>
                <w:color w:val="000000"/>
              </w:rPr>
              <w:t>24</w:t>
            </w:r>
          </w:p>
        </w:tc>
        <w:tc>
          <w:tcPr>
            <w:tcW w:w="3150" w:type="dxa"/>
          </w:tcPr>
          <w:p w14:paraId="76814A66" w14:textId="77777777" w:rsidR="00ED7BF4" w:rsidRDefault="00ED7BF4" w:rsidP="0015305A">
            <w:r>
              <w:rPr>
                <w:rFonts w:ascii="Calibri" w:hAnsi="Calibri" w:cs="Calibri"/>
                <w:color w:val="000000"/>
              </w:rPr>
              <w:t xml:space="preserve"> DBA</w:t>
            </w:r>
          </w:p>
        </w:tc>
      </w:tr>
      <w:tr w:rsidR="00ED7BF4" w14:paraId="62397395" w14:textId="77777777" w:rsidTr="00C44318">
        <w:tc>
          <w:tcPr>
            <w:tcW w:w="1890" w:type="dxa"/>
          </w:tcPr>
          <w:p w14:paraId="5B7DDE8D" w14:textId="77777777" w:rsidR="00ED7BF4" w:rsidRDefault="00ED7BF4" w:rsidP="0015305A">
            <w:pPr>
              <w:jc w:val="center"/>
            </w:pPr>
            <w:r>
              <w:rPr>
                <w:rFonts w:ascii="Calibri" w:hAnsi="Calibri" w:cs="Calibri"/>
                <w:color w:val="000000"/>
              </w:rPr>
              <w:t>9</w:t>
            </w:r>
          </w:p>
        </w:tc>
        <w:tc>
          <w:tcPr>
            <w:tcW w:w="3510" w:type="dxa"/>
          </w:tcPr>
          <w:p w14:paraId="06CFADE1" w14:textId="77777777" w:rsidR="00ED7BF4" w:rsidRDefault="00ED7BF4" w:rsidP="0015305A">
            <w:r>
              <w:rPr>
                <w:rFonts w:ascii="Calibri" w:hAnsi="Calibri" w:cs="Calibri"/>
                <w:color w:val="000000"/>
              </w:rPr>
              <w:t xml:space="preserve"> Authorized Signer</w:t>
            </w:r>
          </w:p>
        </w:tc>
        <w:tc>
          <w:tcPr>
            <w:tcW w:w="1980" w:type="dxa"/>
          </w:tcPr>
          <w:p w14:paraId="684E3E5E" w14:textId="77777777" w:rsidR="00ED7BF4" w:rsidRDefault="00ED7BF4" w:rsidP="0015305A">
            <w:pPr>
              <w:jc w:val="center"/>
            </w:pPr>
            <w:r>
              <w:rPr>
                <w:rFonts w:ascii="Calibri" w:hAnsi="Calibri" w:cs="Calibri"/>
                <w:color w:val="000000"/>
              </w:rPr>
              <w:t>25</w:t>
            </w:r>
          </w:p>
        </w:tc>
        <w:tc>
          <w:tcPr>
            <w:tcW w:w="3150" w:type="dxa"/>
          </w:tcPr>
          <w:p w14:paraId="1CBB8DBE" w14:textId="77777777" w:rsidR="00ED7BF4" w:rsidRDefault="00ED7BF4" w:rsidP="0015305A">
            <w:r>
              <w:rPr>
                <w:rFonts w:ascii="Calibri" w:hAnsi="Calibri" w:cs="Calibri"/>
                <w:color w:val="000000"/>
              </w:rPr>
              <w:t xml:space="preserve"> Attorney Trust</w:t>
            </w:r>
          </w:p>
        </w:tc>
      </w:tr>
      <w:tr w:rsidR="00ED7BF4" w14:paraId="1B220EEB" w14:textId="77777777" w:rsidTr="00C44318">
        <w:tc>
          <w:tcPr>
            <w:tcW w:w="1890" w:type="dxa"/>
          </w:tcPr>
          <w:p w14:paraId="511418DC" w14:textId="77777777" w:rsidR="00ED7BF4" w:rsidRDefault="00ED7BF4" w:rsidP="0015305A">
            <w:pPr>
              <w:jc w:val="center"/>
            </w:pPr>
            <w:r>
              <w:rPr>
                <w:rFonts w:ascii="Calibri" w:hAnsi="Calibri" w:cs="Calibri"/>
                <w:color w:val="000000"/>
              </w:rPr>
              <w:t>10</w:t>
            </w:r>
          </w:p>
        </w:tc>
        <w:tc>
          <w:tcPr>
            <w:tcW w:w="3510" w:type="dxa"/>
          </w:tcPr>
          <w:p w14:paraId="0B0A81D2" w14:textId="77777777" w:rsidR="00ED7BF4" w:rsidRDefault="00ED7BF4" w:rsidP="0015305A">
            <w:r>
              <w:rPr>
                <w:rFonts w:ascii="Calibri" w:hAnsi="Calibri" w:cs="Calibri"/>
                <w:color w:val="000000"/>
              </w:rPr>
              <w:t xml:space="preserve"> Dividend Payee</w:t>
            </w:r>
          </w:p>
        </w:tc>
        <w:tc>
          <w:tcPr>
            <w:tcW w:w="1980" w:type="dxa"/>
          </w:tcPr>
          <w:p w14:paraId="2D231D39" w14:textId="77777777" w:rsidR="00ED7BF4" w:rsidRDefault="00ED7BF4" w:rsidP="0015305A">
            <w:pPr>
              <w:jc w:val="center"/>
            </w:pPr>
            <w:r>
              <w:rPr>
                <w:rFonts w:ascii="Calibri" w:hAnsi="Calibri" w:cs="Calibri"/>
                <w:color w:val="000000"/>
              </w:rPr>
              <w:t>26</w:t>
            </w:r>
          </w:p>
        </w:tc>
        <w:tc>
          <w:tcPr>
            <w:tcW w:w="3150" w:type="dxa"/>
          </w:tcPr>
          <w:p w14:paraId="3724D592" w14:textId="77777777" w:rsidR="00ED7BF4" w:rsidRDefault="00ED7BF4" w:rsidP="0015305A">
            <w:r>
              <w:rPr>
                <w:rFonts w:ascii="Calibri" w:hAnsi="Calibri" w:cs="Calibri"/>
                <w:color w:val="000000"/>
              </w:rPr>
              <w:t xml:space="preserve"> Safe Deposit Box Co-Lessee</w:t>
            </w:r>
          </w:p>
        </w:tc>
      </w:tr>
      <w:tr w:rsidR="00ED7BF4" w14:paraId="2F3EA95D" w14:textId="77777777" w:rsidTr="00C44318">
        <w:tc>
          <w:tcPr>
            <w:tcW w:w="1890" w:type="dxa"/>
          </w:tcPr>
          <w:p w14:paraId="04A30ECA" w14:textId="77777777" w:rsidR="00ED7BF4" w:rsidRDefault="00ED7BF4" w:rsidP="0015305A">
            <w:pPr>
              <w:jc w:val="center"/>
            </w:pPr>
            <w:r>
              <w:rPr>
                <w:rFonts w:ascii="Calibri" w:hAnsi="Calibri" w:cs="Calibri"/>
                <w:color w:val="000000"/>
              </w:rPr>
              <w:t>11</w:t>
            </w:r>
          </w:p>
        </w:tc>
        <w:tc>
          <w:tcPr>
            <w:tcW w:w="3510" w:type="dxa"/>
          </w:tcPr>
          <w:p w14:paraId="7E7AFE72" w14:textId="77777777" w:rsidR="00ED7BF4" w:rsidRDefault="00ED7BF4" w:rsidP="0015305A">
            <w:r>
              <w:rPr>
                <w:rFonts w:ascii="Calibri" w:hAnsi="Calibri" w:cs="Calibri"/>
                <w:color w:val="000000"/>
              </w:rPr>
              <w:t xml:space="preserve"> Maturity Payee</w:t>
            </w:r>
          </w:p>
        </w:tc>
        <w:tc>
          <w:tcPr>
            <w:tcW w:w="1980" w:type="dxa"/>
          </w:tcPr>
          <w:p w14:paraId="4F805BEA" w14:textId="77777777" w:rsidR="00ED7BF4" w:rsidRDefault="00ED7BF4" w:rsidP="0015305A">
            <w:pPr>
              <w:jc w:val="center"/>
            </w:pPr>
            <w:r>
              <w:rPr>
                <w:rFonts w:ascii="Calibri" w:hAnsi="Calibri" w:cs="Calibri"/>
                <w:color w:val="000000"/>
              </w:rPr>
              <w:t>27</w:t>
            </w:r>
          </w:p>
        </w:tc>
        <w:tc>
          <w:tcPr>
            <w:tcW w:w="3150" w:type="dxa"/>
          </w:tcPr>
          <w:p w14:paraId="0A530DA2" w14:textId="77777777" w:rsidR="00ED7BF4" w:rsidRDefault="00ED7BF4" w:rsidP="0015305A">
            <w:r>
              <w:rPr>
                <w:rFonts w:ascii="Calibri" w:hAnsi="Calibri" w:cs="Calibri"/>
                <w:color w:val="000000"/>
              </w:rPr>
              <w:t xml:space="preserve"> Safe Deposit Box Deputy</w:t>
            </w:r>
          </w:p>
        </w:tc>
      </w:tr>
      <w:tr w:rsidR="00ED7BF4" w14:paraId="4010E737" w14:textId="77777777" w:rsidTr="00C44318">
        <w:tc>
          <w:tcPr>
            <w:tcW w:w="1890" w:type="dxa"/>
          </w:tcPr>
          <w:p w14:paraId="11F42064" w14:textId="77777777" w:rsidR="00ED7BF4" w:rsidRDefault="00ED7BF4" w:rsidP="0015305A">
            <w:pPr>
              <w:jc w:val="center"/>
            </w:pPr>
            <w:r>
              <w:rPr>
                <w:rFonts w:ascii="Calibri" w:hAnsi="Calibri" w:cs="Calibri"/>
                <w:color w:val="000000"/>
              </w:rPr>
              <w:t>12</w:t>
            </w:r>
          </w:p>
        </w:tc>
        <w:tc>
          <w:tcPr>
            <w:tcW w:w="3510" w:type="dxa"/>
          </w:tcPr>
          <w:p w14:paraId="5D8B5A5E" w14:textId="77777777" w:rsidR="00ED7BF4" w:rsidRDefault="00ED7BF4" w:rsidP="0015305A">
            <w:r>
              <w:rPr>
                <w:rFonts w:ascii="Calibri" w:hAnsi="Calibri" w:cs="Calibri"/>
                <w:color w:val="000000"/>
              </w:rPr>
              <w:t xml:space="preserve"> Coverdell ESA Beneficiary</w:t>
            </w:r>
          </w:p>
        </w:tc>
        <w:tc>
          <w:tcPr>
            <w:tcW w:w="1980" w:type="dxa"/>
          </w:tcPr>
          <w:p w14:paraId="4616B146" w14:textId="77777777" w:rsidR="00ED7BF4" w:rsidRDefault="00ED7BF4" w:rsidP="0015305A">
            <w:pPr>
              <w:jc w:val="center"/>
            </w:pPr>
            <w:r>
              <w:rPr>
                <w:rFonts w:ascii="Calibri" w:hAnsi="Calibri" w:cs="Calibri"/>
                <w:color w:val="000000"/>
              </w:rPr>
              <w:t>28</w:t>
            </w:r>
          </w:p>
        </w:tc>
        <w:tc>
          <w:tcPr>
            <w:tcW w:w="3150" w:type="dxa"/>
          </w:tcPr>
          <w:p w14:paraId="6F9B9E32" w14:textId="77777777" w:rsidR="00ED7BF4" w:rsidRDefault="00ED7BF4" w:rsidP="0015305A">
            <w:r>
              <w:rPr>
                <w:rFonts w:ascii="Calibri" w:hAnsi="Calibri" w:cs="Calibri"/>
                <w:color w:val="000000"/>
              </w:rPr>
              <w:t xml:space="preserve"> CTR Common Carrier</w:t>
            </w:r>
          </w:p>
        </w:tc>
      </w:tr>
      <w:tr w:rsidR="00ED7BF4" w14:paraId="70672DD7" w14:textId="77777777" w:rsidTr="00C44318">
        <w:tc>
          <w:tcPr>
            <w:tcW w:w="1890" w:type="dxa"/>
          </w:tcPr>
          <w:p w14:paraId="6382F6FB" w14:textId="77777777" w:rsidR="00ED7BF4" w:rsidRDefault="00ED7BF4" w:rsidP="0015305A">
            <w:pPr>
              <w:jc w:val="center"/>
            </w:pPr>
            <w:r>
              <w:rPr>
                <w:rFonts w:ascii="Calibri" w:hAnsi="Calibri" w:cs="Calibri"/>
                <w:color w:val="000000"/>
              </w:rPr>
              <w:t>13</w:t>
            </w:r>
          </w:p>
        </w:tc>
        <w:tc>
          <w:tcPr>
            <w:tcW w:w="3510" w:type="dxa"/>
          </w:tcPr>
          <w:p w14:paraId="3249D865" w14:textId="77777777" w:rsidR="00ED7BF4" w:rsidRDefault="00ED7BF4" w:rsidP="0015305A">
            <w:r>
              <w:rPr>
                <w:rFonts w:ascii="Calibri" w:hAnsi="Calibri" w:cs="Calibri"/>
                <w:color w:val="000000"/>
              </w:rPr>
              <w:t xml:space="preserve"> Next of Kin</w:t>
            </w:r>
          </w:p>
        </w:tc>
        <w:tc>
          <w:tcPr>
            <w:tcW w:w="1980" w:type="dxa"/>
          </w:tcPr>
          <w:p w14:paraId="55FF7308" w14:textId="77777777" w:rsidR="00ED7BF4" w:rsidRDefault="00ED7BF4" w:rsidP="0015305A">
            <w:pPr>
              <w:jc w:val="center"/>
            </w:pPr>
            <w:r>
              <w:rPr>
                <w:rFonts w:ascii="Calibri" w:hAnsi="Calibri" w:cs="Calibri"/>
                <w:color w:val="000000"/>
              </w:rPr>
              <w:t>29</w:t>
            </w:r>
          </w:p>
        </w:tc>
        <w:tc>
          <w:tcPr>
            <w:tcW w:w="3150" w:type="dxa"/>
          </w:tcPr>
          <w:p w14:paraId="43ECD9AA" w14:textId="77777777" w:rsidR="00ED7BF4" w:rsidRDefault="00ED7BF4" w:rsidP="0015305A">
            <w:r>
              <w:rPr>
                <w:rFonts w:ascii="Calibri" w:hAnsi="Calibri" w:cs="Calibri"/>
                <w:color w:val="000000"/>
              </w:rPr>
              <w:t xml:space="preserve"> Property Address</w:t>
            </w:r>
          </w:p>
        </w:tc>
      </w:tr>
      <w:tr w:rsidR="00ED7BF4" w14:paraId="6BA13219" w14:textId="77777777" w:rsidTr="00C44318">
        <w:tc>
          <w:tcPr>
            <w:tcW w:w="1890" w:type="dxa"/>
          </w:tcPr>
          <w:p w14:paraId="41567E34" w14:textId="77777777" w:rsidR="00ED7BF4" w:rsidRDefault="00ED7BF4" w:rsidP="0015305A">
            <w:pPr>
              <w:jc w:val="center"/>
            </w:pPr>
            <w:r>
              <w:rPr>
                <w:rFonts w:ascii="Calibri" w:hAnsi="Calibri" w:cs="Calibri"/>
                <w:color w:val="000000"/>
              </w:rPr>
              <w:t>14</w:t>
            </w:r>
          </w:p>
        </w:tc>
        <w:tc>
          <w:tcPr>
            <w:tcW w:w="3510" w:type="dxa"/>
          </w:tcPr>
          <w:p w14:paraId="2E34565A" w14:textId="77777777" w:rsidR="00ED7BF4" w:rsidRDefault="00ED7BF4" w:rsidP="0015305A">
            <w:r>
              <w:rPr>
                <w:rFonts w:ascii="Calibri" w:hAnsi="Calibri" w:cs="Calibri"/>
                <w:color w:val="000000"/>
              </w:rPr>
              <w:t xml:space="preserve"> Representative Payee</w:t>
            </w:r>
          </w:p>
        </w:tc>
        <w:tc>
          <w:tcPr>
            <w:tcW w:w="1980" w:type="dxa"/>
          </w:tcPr>
          <w:p w14:paraId="28E17CC9" w14:textId="77777777" w:rsidR="00ED7BF4" w:rsidRDefault="00ED7BF4" w:rsidP="0015305A">
            <w:pPr>
              <w:jc w:val="center"/>
            </w:pPr>
            <w:r>
              <w:rPr>
                <w:rFonts w:ascii="Calibri" w:hAnsi="Calibri" w:cs="Calibri"/>
                <w:color w:val="000000"/>
              </w:rPr>
              <w:t>30</w:t>
            </w:r>
          </w:p>
        </w:tc>
        <w:tc>
          <w:tcPr>
            <w:tcW w:w="3150" w:type="dxa"/>
          </w:tcPr>
          <w:p w14:paraId="6D7CE66F" w14:textId="77777777" w:rsidR="00ED7BF4" w:rsidRDefault="00ED7BF4" w:rsidP="0015305A">
            <w:r>
              <w:rPr>
                <w:rFonts w:ascii="Calibri" w:hAnsi="Calibri" w:cs="Calibri"/>
                <w:color w:val="000000"/>
              </w:rPr>
              <w:t xml:space="preserve"> Successor In Interest</w:t>
            </w:r>
          </w:p>
        </w:tc>
      </w:tr>
      <w:tr w:rsidR="00ED7BF4" w14:paraId="17AAD34D" w14:textId="77777777" w:rsidTr="00C44318">
        <w:tc>
          <w:tcPr>
            <w:tcW w:w="1890" w:type="dxa"/>
          </w:tcPr>
          <w:p w14:paraId="220BDA00" w14:textId="77777777" w:rsidR="00ED7BF4" w:rsidRDefault="00ED7BF4" w:rsidP="0015305A">
            <w:pPr>
              <w:jc w:val="center"/>
            </w:pPr>
            <w:r>
              <w:rPr>
                <w:rFonts w:ascii="Calibri" w:hAnsi="Calibri" w:cs="Calibri"/>
                <w:color w:val="000000"/>
              </w:rPr>
              <w:t>15</w:t>
            </w:r>
          </w:p>
        </w:tc>
        <w:tc>
          <w:tcPr>
            <w:tcW w:w="3510" w:type="dxa"/>
          </w:tcPr>
          <w:p w14:paraId="3BB701A6" w14:textId="77777777" w:rsidR="00ED7BF4" w:rsidRDefault="00ED7BF4" w:rsidP="0015305A">
            <w:r>
              <w:rPr>
                <w:rFonts w:ascii="Calibri" w:hAnsi="Calibri" w:cs="Calibri"/>
                <w:color w:val="000000"/>
              </w:rPr>
              <w:t xml:space="preserve"> Grantor</w:t>
            </w:r>
          </w:p>
        </w:tc>
        <w:tc>
          <w:tcPr>
            <w:tcW w:w="1980" w:type="dxa"/>
          </w:tcPr>
          <w:p w14:paraId="76C71A5D" w14:textId="77777777" w:rsidR="00ED7BF4" w:rsidRDefault="00ED7BF4" w:rsidP="0015305A">
            <w:pPr>
              <w:jc w:val="center"/>
            </w:pPr>
            <w:r>
              <w:rPr>
                <w:rFonts w:ascii="Calibri" w:hAnsi="Calibri" w:cs="Calibri"/>
                <w:color w:val="000000"/>
              </w:rPr>
              <w:t>31</w:t>
            </w:r>
          </w:p>
        </w:tc>
        <w:tc>
          <w:tcPr>
            <w:tcW w:w="3150" w:type="dxa"/>
          </w:tcPr>
          <w:p w14:paraId="4F4B528D" w14:textId="77777777" w:rsidR="00ED7BF4" w:rsidRDefault="00ED7BF4" w:rsidP="0015305A">
            <w:r>
              <w:rPr>
                <w:rFonts w:ascii="Calibri" w:hAnsi="Calibri" w:cs="Calibri"/>
                <w:color w:val="000000"/>
              </w:rPr>
              <w:t xml:space="preserve"> Information Only</w:t>
            </w:r>
          </w:p>
        </w:tc>
      </w:tr>
    </w:tbl>
    <w:p w14:paraId="1264E820" w14:textId="77777777" w:rsidR="00756CC1" w:rsidRDefault="00756CC1" w:rsidP="00756CC1">
      <w:pPr>
        <w:rPr>
          <w:b/>
          <w:bCs/>
          <w:strike/>
          <w:color w:val="FF0000"/>
        </w:rPr>
      </w:pPr>
    </w:p>
    <w:p w14:paraId="448F65B0" w14:textId="7AD6D137" w:rsidR="00F07ECA" w:rsidRDefault="00F07ECA" w:rsidP="0057333F">
      <w:pPr>
        <w:pStyle w:val="Heading1"/>
        <w:ind w:hanging="630"/>
      </w:pPr>
      <w:r>
        <w:lastRenderedPageBreak/>
        <w:t>Member Confirmation Email</w:t>
      </w:r>
    </w:p>
    <w:p w14:paraId="4C3CDDAA" w14:textId="0922A581" w:rsidR="00F07ECA" w:rsidRDefault="00F07ECA" w:rsidP="00F07ECA">
      <w:pPr>
        <w:ind w:left="-630"/>
      </w:pPr>
      <w:r>
        <w:t xml:space="preserve">If a member </w:t>
      </w:r>
      <w:r w:rsidR="0057333F">
        <w:t>performs a successful Address Change,</w:t>
      </w:r>
      <w:r>
        <w:t xml:space="preserve"> a confirmation email </w:t>
      </w:r>
      <w:r w:rsidR="0057333F">
        <w:t>can be sent to the member.</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F07ECA" w14:paraId="4A85B69C" w14:textId="77777777" w:rsidTr="0015305A">
        <w:tc>
          <w:tcPr>
            <w:tcW w:w="1979" w:type="dxa"/>
            <w:tcBorders>
              <w:bottom w:val="single" w:sz="8" w:space="0" w:color="auto"/>
            </w:tcBorders>
            <w:vAlign w:val="center"/>
          </w:tcPr>
          <w:p w14:paraId="56109C99" w14:textId="77777777" w:rsidR="00F07ECA" w:rsidRDefault="00F07ECA" w:rsidP="0015305A">
            <w:r w:rsidRPr="00800CD1">
              <w:rPr>
                <w:b/>
                <w:bCs/>
              </w:rPr>
              <w:t>Parameter Name</w:t>
            </w:r>
          </w:p>
        </w:tc>
        <w:tc>
          <w:tcPr>
            <w:tcW w:w="4051" w:type="dxa"/>
            <w:tcBorders>
              <w:bottom w:val="single" w:sz="8" w:space="0" w:color="auto"/>
            </w:tcBorders>
            <w:vAlign w:val="center"/>
          </w:tcPr>
          <w:p w14:paraId="56546B41" w14:textId="77777777" w:rsidR="00F07ECA" w:rsidRDefault="00F07ECA" w:rsidP="0015305A">
            <w:r w:rsidRPr="00800CD1">
              <w:rPr>
                <w:b/>
                <w:bCs/>
              </w:rPr>
              <w:t>Parameter Description</w:t>
            </w:r>
          </w:p>
        </w:tc>
        <w:tc>
          <w:tcPr>
            <w:tcW w:w="2070" w:type="dxa"/>
            <w:tcBorders>
              <w:bottom w:val="single" w:sz="8" w:space="0" w:color="auto"/>
            </w:tcBorders>
            <w:vAlign w:val="center"/>
          </w:tcPr>
          <w:p w14:paraId="7FA37600" w14:textId="77777777" w:rsidR="00F07ECA" w:rsidRDefault="00F07ECA" w:rsidP="0015305A">
            <w:pPr>
              <w:jc w:val="center"/>
            </w:pPr>
            <w:r w:rsidRPr="00800CD1">
              <w:rPr>
                <w:b/>
                <w:bCs/>
              </w:rPr>
              <w:t>Default Value</w:t>
            </w:r>
          </w:p>
        </w:tc>
        <w:tc>
          <w:tcPr>
            <w:tcW w:w="2430" w:type="dxa"/>
            <w:tcBorders>
              <w:bottom w:val="single" w:sz="8" w:space="0" w:color="auto"/>
            </w:tcBorders>
            <w:vAlign w:val="center"/>
          </w:tcPr>
          <w:p w14:paraId="3CF2D297" w14:textId="77777777" w:rsidR="00F07ECA" w:rsidRDefault="00F07ECA" w:rsidP="0015305A">
            <w:pPr>
              <w:jc w:val="center"/>
            </w:pPr>
            <w:r w:rsidRPr="00800CD1">
              <w:rPr>
                <w:b/>
                <w:bCs/>
              </w:rPr>
              <w:t xml:space="preserve">CU </w:t>
            </w:r>
            <w:r>
              <w:rPr>
                <w:b/>
                <w:bCs/>
              </w:rPr>
              <w:t>Response</w:t>
            </w:r>
          </w:p>
        </w:tc>
      </w:tr>
      <w:tr w:rsidR="00F07ECA" w14:paraId="7A5306E3" w14:textId="77777777" w:rsidTr="00F07ECA">
        <w:tc>
          <w:tcPr>
            <w:tcW w:w="1979" w:type="dxa"/>
          </w:tcPr>
          <w:p w14:paraId="06BB4AA7" w14:textId="6CA71B00" w:rsidR="00F07ECA" w:rsidRDefault="00F07ECA" w:rsidP="0015305A">
            <w:r>
              <w:t>Send</w:t>
            </w:r>
            <w:r w:rsidRPr="00414B11">
              <w:t xml:space="preserve"> Confirmation </w:t>
            </w:r>
            <w:r>
              <w:t>Email to Member:</w:t>
            </w:r>
          </w:p>
        </w:tc>
        <w:tc>
          <w:tcPr>
            <w:tcW w:w="4051" w:type="dxa"/>
          </w:tcPr>
          <w:p w14:paraId="6B10CD45" w14:textId="77777777" w:rsidR="00340ECA" w:rsidRDefault="00F07ECA" w:rsidP="0015305A">
            <w:r w:rsidRPr="00F07ECA">
              <w:t xml:space="preserve">If this is enabled a confirmation email will be sent to the member.  </w:t>
            </w:r>
          </w:p>
          <w:p w14:paraId="47F0C097" w14:textId="3D2261DA" w:rsidR="00F07ECA" w:rsidRPr="002439D2" w:rsidRDefault="00F07ECA" w:rsidP="0015305A">
            <w:r>
              <w:br/>
            </w:r>
            <w:r w:rsidRPr="00F07ECA">
              <w:rPr>
                <w:b/>
                <w:bCs/>
              </w:rPr>
              <w:t>Valid Values:</w:t>
            </w:r>
            <w:r w:rsidRPr="00F07ECA">
              <w:t xml:space="preserve"> YES or N</w:t>
            </w:r>
            <w:r>
              <w:t>O</w:t>
            </w:r>
          </w:p>
        </w:tc>
        <w:tc>
          <w:tcPr>
            <w:tcW w:w="2070" w:type="dxa"/>
            <w:vAlign w:val="center"/>
          </w:tcPr>
          <w:p w14:paraId="43F4E64A" w14:textId="008E2E19" w:rsidR="00F07ECA" w:rsidRPr="001F3720" w:rsidRDefault="00F07ECA" w:rsidP="00F07ECA">
            <w:pPr>
              <w:jc w:val="center"/>
              <w:rPr>
                <w:b/>
                <w:bCs/>
              </w:rPr>
            </w:pPr>
            <w:r>
              <w:t>SE:</w:t>
            </w:r>
            <w:r w:rsidR="001F3720">
              <w:t xml:space="preserve"> </w:t>
            </w:r>
            <w:r w:rsidR="001F3720" w:rsidRPr="00075A5D">
              <w:t>NO</w:t>
            </w:r>
          </w:p>
        </w:tc>
        <w:tc>
          <w:tcPr>
            <w:tcW w:w="2430" w:type="dxa"/>
            <w:vAlign w:val="center"/>
          </w:tcPr>
          <w:p w14:paraId="4EDC73CB" w14:textId="33E5E2BC" w:rsidR="00F07ECA" w:rsidRDefault="00F07ECA" w:rsidP="00DF69DE">
            <w:r>
              <w:t>SE:</w:t>
            </w:r>
          </w:p>
        </w:tc>
      </w:tr>
      <w:tr w:rsidR="00F07ECA" w14:paraId="5B9FB83E" w14:textId="77777777" w:rsidTr="00F07ECA">
        <w:tc>
          <w:tcPr>
            <w:tcW w:w="1979" w:type="dxa"/>
          </w:tcPr>
          <w:p w14:paraId="307A866E" w14:textId="600A295B" w:rsidR="00F07ECA" w:rsidRPr="00414B11" w:rsidRDefault="00F07ECA" w:rsidP="0015305A">
            <w:r w:rsidRPr="00414B11">
              <w:t>Member Confirmation Email Type:</w:t>
            </w:r>
          </w:p>
        </w:tc>
        <w:tc>
          <w:tcPr>
            <w:tcW w:w="4051" w:type="dxa"/>
          </w:tcPr>
          <w:p w14:paraId="5436968A" w14:textId="602C7611" w:rsidR="00340ECA" w:rsidRPr="00414B11" w:rsidRDefault="00F07ECA" w:rsidP="0015305A">
            <w:bookmarkStart w:id="4" w:name="_Hlk156292208"/>
            <w:r w:rsidRPr="00414B11">
              <w:t xml:space="preserve">If </w:t>
            </w:r>
            <w:r w:rsidRPr="00414B11">
              <w:rPr>
                <w:b/>
                <w:bCs/>
              </w:rPr>
              <w:t>Send Confirmation Email to Member</w:t>
            </w:r>
            <w:r w:rsidRPr="00414B11">
              <w:t xml:space="preserve"> is set to “</w:t>
            </w:r>
            <w:r w:rsidRPr="00414B11">
              <w:rPr>
                <w:b/>
                <w:bCs/>
              </w:rPr>
              <w:t>YES</w:t>
            </w:r>
            <w:r w:rsidRPr="00414B11">
              <w:t xml:space="preserve">”, identify the format that should be used for the email. </w:t>
            </w:r>
          </w:p>
          <w:p w14:paraId="67840A51" w14:textId="7E9FD18A" w:rsidR="00F07ECA" w:rsidRPr="00414B11" w:rsidRDefault="00F07ECA" w:rsidP="0015305A">
            <w:r w:rsidRPr="00414B11">
              <w:t xml:space="preserve"> </w:t>
            </w:r>
            <w:bookmarkEnd w:id="4"/>
            <w:r w:rsidRPr="00414B11">
              <w:br/>
            </w:r>
            <w:r w:rsidRPr="00414B11">
              <w:rPr>
                <w:b/>
                <w:bCs/>
              </w:rPr>
              <w:t>Valid Values:</w:t>
            </w:r>
            <w:r w:rsidRPr="00414B11">
              <w:t xml:space="preserve"> TEXT or HTML</w:t>
            </w:r>
          </w:p>
        </w:tc>
        <w:tc>
          <w:tcPr>
            <w:tcW w:w="2070" w:type="dxa"/>
            <w:vAlign w:val="center"/>
          </w:tcPr>
          <w:p w14:paraId="4F8CB5E4" w14:textId="698B3465" w:rsidR="00F07ECA" w:rsidRPr="001F3720" w:rsidRDefault="0057333F" w:rsidP="00F07ECA">
            <w:pPr>
              <w:jc w:val="center"/>
              <w:rPr>
                <w:b/>
                <w:bCs/>
              </w:rPr>
            </w:pPr>
            <w:r>
              <w:t>ET:</w:t>
            </w:r>
            <w:r w:rsidR="001F3720">
              <w:t xml:space="preserve"> </w:t>
            </w:r>
          </w:p>
        </w:tc>
        <w:tc>
          <w:tcPr>
            <w:tcW w:w="2430" w:type="dxa"/>
            <w:vAlign w:val="center"/>
          </w:tcPr>
          <w:p w14:paraId="642ADE51" w14:textId="19B75F61" w:rsidR="00F07ECA" w:rsidRDefault="0057333F" w:rsidP="00DF69DE">
            <w:r>
              <w:t>ET:</w:t>
            </w:r>
          </w:p>
        </w:tc>
      </w:tr>
      <w:tr w:rsidR="00F07ECA" w14:paraId="075511FF" w14:textId="77777777" w:rsidTr="00F07ECA">
        <w:tc>
          <w:tcPr>
            <w:tcW w:w="1979" w:type="dxa"/>
          </w:tcPr>
          <w:p w14:paraId="581D38C3" w14:textId="1D1120FF" w:rsidR="00F07ECA" w:rsidRPr="00414B11" w:rsidRDefault="00F07ECA" w:rsidP="0015305A">
            <w:r w:rsidRPr="00414B11">
              <w:t>Send Member Confirmation Email From:</w:t>
            </w:r>
          </w:p>
        </w:tc>
        <w:tc>
          <w:tcPr>
            <w:tcW w:w="4051" w:type="dxa"/>
          </w:tcPr>
          <w:p w14:paraId="46F56844" w14:textId="51D40F21" w:rsidR="00340ECA" w:rsidRPr="00414B11" w:rsidRDefault="00F07ECA" w:rsidP="0015305A">
            <w:bookmarkStart w:id="5" w:name="_Hlk156292238"/>
            <w:r w:rsidRPr="00414B11">
              <w:t xml:space="preserve">If </w:t>
            </w:r>
            <w:r w:rsidRPr="00414B11">
              <w:rPr>
                <w:b/>
                <w:bCs/>
              </w:rPr>
              <w:t>Send Confirmation Email to Member</w:t>
            </w:r>
            <w:r w:rsidRPr="00414B11">
              <w:t xml:space="preserve"> is set to “</w:t>
            </w:r>
            <w:r w:rsidRPr="00414B11">
              <w:rPr>
                <w:b/>
                <w:bCs/>
              </w:rPr>
              <w:t>YES</w:t>
            </w:r>
            <w:r w:rsidRPr="00414B11">
              <w:t>”, identify the source of the email (the “FROM” email).  If blank, the member’s own email address is used.</w:t>
            </w:r>
            <w:bookmarkEnd w:id="5"/>
          </w:p>
          <w:p w14:paraId="74176522" w14:textId="4D3A0C44" w:rsidR="00F07ECA" w:rsidRPr="00414B11" w:rsidRDefault="00F07ECA" w:rsidP="0015305A">
            <w:r w:rsidRPr="00414B11">
              <w:br/>
            </w:r>
            <w:bookmarkStart w:id="6" w:name="_Hlk156292263"/>
            <w:r w:rsidRPr="00414B11">
              <w:rPr>
                <w:b/>
                <w:bCs/>
              </w:rPr>
              <w:t>Valid Values:</w:t>
            </w:r>
            <w:r w:rsidRPr="00414B11">
              <w:t xml:space="preserve"> Valid CU email address or BLANK</w:t>
            </w:r>
            <w:bookmarkEnd w:id="6"/>
          </w:p>
        </w:tc>
        <w:tc>
          <w:tcPr>
            <w:tcW w:w="2070" w:type="dxa"/>
            <w:vAlign w:val="center"/>
          </w:tcPr>
          <w:p w14:paraId="408FB074" w14:textId="3526DE43" w:rsidR="00F07ECA" w:rsidRDefault="0057333F" w:rsidP="00F07ECA">
            <w:pPr>
              <w:jc w:val="center"/>
            </w:pPr>
            <w:r>
              <w:t>EF:</w:t>
            </w:r>
          </w:p>
        </w:tc>
        <w:tc>
          <w:tcPr>
            <w:tcW w:w="2430" w:type="dxa"/>
            <w:vAlign w:val="center"/>
          </w:tcPr>
          <w:p w14:paraId="63712995" w14:textId="5994263D" w:rsidR="00F07ECA" w:rsidRDefault="0057333F" w:rsidP="00DF69DE">
            <w:r>
              <w:t>EF:</w:t>
            </w:r>
          </w:p>
        </w:tc>
      </w:tr>
      <w:tr w:rsidR="00F07ECA" w14:paraId="05A5DB08" w14:textId="77777777" w:rsidTr="00F07ECA">
        <w:tc>
          <w:tcPr>
            <w:tcW w:w="1979" w:type="dxa"/>
          </w:tcPr>
          <w:p w14:paraId="7200A82A" w14:textId="5F0FA7E6" w:rsidR="00F07ECA" w:rsidRDefault="00F07ECA" w:rsidP="0015305A">
            <w:r w:rsidRPr="00414B11">
              <w:t>Member Confirmation Email Subject:</w:t>
            </w:r>
          </w:p>
        </w:tc>
        <w:tc>
          <w:tcPr>
            <w:tcW w:w="4051" w:type="dxa"/>
          </w:tcPr>
          <w:p w14:paraId="5A3F327F" w14:textId="753C4B63" w:rsidR="00340ECA" w:rsidRPr="00414B11" w:rsidRDefault="00F07ECA" w:rsidP="0015305A">
            <w:bookmarkStart w:id="7" w:name="_Hlk156367634"/>
            <w:r w:rsidRPr="00414B11">
              <w:t xml:space="preserve">If </w:t>
            </w:r>
            <w:r w:rsidRPr="00414B11">
              <w:rPr>
                <w:b/>
                <w:bCs/>
              </w:rPr>
              <w:t>Send Confirmation Email to Member</w:t>
            </w:r>
            <w:r w:rsidRPr="00414B11">
              <w:t xml:space="preserve"> is set to “</w:t>
            </w:r>
            <w:r w:rsidRPr="00414B11">
              <w:rPr>
                <w:b/>
                <w:bCs/>
              </w:rPr>
              <w:t>YES</w:t>
            </w:r>
            <w:r w:rsidRPr="00414B11">
              <w:t>”, identify the subject line for the email.  If blank, ‘Address Update Notice’ is used.</w:t>
            </w:r>
          </w:p>
          <w:p w14:paraId="1E405749" w14:textId="4FADD131" w:rsidR="00F07ECA" w:rsidRPr="00F07ECA" w:rsidRDefault="00F07ECA" w:rsidP="0015305A">
            <w:r w:rsidRPr="00414B11">
              <w:br/>
            </w:r>
            <w:r w:rsidRPr="00414B11">
              <w:rPr>
                <w:b/>
                <w:bCs/>
              </w:rPr>
              <w:t>Valid Values:</w:t>
            </w:r>
            <w:r w:rsidRPr="00414B11">
              <w:t xml:space="preserve"> Character String up to 120 characters or BLANK  </w:t>
            </w:r>
            <w:bookmarkEnd w:id="7"/>
          </w:p>
        </w:tc>
        <w:tc>
          <w:tcPr>
            <w:tcW w:w="2070" w:type="dxa"/>
            <w:vAlign w:val="center"/>
          </w:tcPr>
          <w:p w14:paraId="25614118" w14:textId="35DA79FF" w:rsidR="00F07ECA" w:rsidRPr="00075A5D" w:rsidRDefault="0057333F" w:rsidP="00F07ECA">
            <w:pPr>
              <w:jc w:val="center"/>
            </w:pPr>
            <w:r w:rsidRPr="00075A5D">
              <w:t>ES: Address Update Notice</w:t>
            </w:r>
          </w:p>
        </w:tc>
        <w:tc>
          <w:tcPr>
            <w:tcW w:w="2430" w:type="dxa"/>
            <w:vAlign w:val="center"/>
          </w:tcPr>
          <w:p w14:paraId="1F0B0AB1" w14:textId="2E54650F" w:rsidR="00F07ECA" w:rsidRDefault="0057333F" w:rsidP="00DF69DE">
            <w:r>
              <w:t>ES:</w:t>
            </w:r>
          </w:p>
        </w:tc>
      </w:tr>
      <w:tr w:rsidR="0057333F" w14:paraId="081919DB" w14:textId="77777777" w:rsidTr="0057333F">
        <w:tc>
          <w:tcPr>
            <w:tcW w:w="1979" w:type="dxa"/>
          </w:tcPr>
          <w:p w14:paraId="7991F32B" w14:textId="69793286" w:rsidR="0057333F" w:rsidRPr="00414B11" w:rsidRDefault="0057333F" w:rsidP="0015305A">
            <w:r w:rsidRPr="00414B11">
              <w:t>Member Confirmation Email Body:</w:t>
            </w:r>
          </w:p>
        </w:tc>
        <w:tc>
          <w:tcPr>
            <w:tcW w:w="8551" w:type="dxa"/>
            <w:gridSpan w:val="3"/>
          </w:tcPr>
          <w:p w14:paraId="02424CAB" w14:textId="219160CE" w:rsidR="00340ECA" w:rsidRPr="00414B11" w:rsidRDefault="0057333F" w:rsidP="0057333F">
            <w:bookmarkStart w:id="8" w:name="_Hlk156367672"/>
            <w:r w:rsidRPr="00414B11">
              <w:t xml:space="preserve">If </w:t>
            </w:r>
            <w:r w:rsidRPr="00414B11">
              <w:rPr>
                <w:b/>
                <w:bCs/>
              </w:rPr>
              <w:t>Send Confirmation Email to Member</w:t>
            </w:r>
            <w:r w:rsidRPr="00414B11">
              <w:t xml:space="preserve"> is set to “</w:t>
            </w:r>
            <w:r w:rsidRPr="00414B11">
              <w:rPr>
                <w:b/>
                <w:bCs/>
              </w:rPr>
              <w:t>YES</w:t>
            </w:r>
            <w:r w:rsidRPr="00414B11">
              <w:t xml:space="preserve">”, this text will be the body of the email sent to the member. </w:t>
            </w:r>
          </w:p>
          <w:p w14:paraId="7A5ACA8A" w14:textId="458108FB" w:rsidR="0057333F" w:rsidRPr="00414B11" w:rsidRDefault="0057333F" w:rsidP="0057333F">
            <w:r w:rsidRPr="00414B11">
              <w:t xml:space="preserve"> </w:t>
            </w:r>
            <w:r w:rsidRPr="00414B11">
              <w:br/>
            </w:r>
            <w:r w:rsidRPr="00414B11">
              <w:rPr>
                <w:b/>
                <w:bCs/>
              </w:rPr>
              <w:t>Valid Values:</w:t>
            </w:r>
            <w:r w:rsidRPr="00414B11">
              <w:t xml:space="preserve"> Text lines up to 999 with up to 120 characters per line</w:t>
            </w:r>
            <w:bookmarkEnd w:id="8"/>
          </w:p>
        </w:tc>
      </w:tr>
      <w:tr w:rsidR="0057333F" w14:paraId="47106C55" w14:textId="77777777" w:rsidTr="0057333F">
        <w:trPr>
          <w:trHeight w:val="3050"/>
        </w:trPr>
        <w:tc>
          <w:tcPr>
            <w:tcW w:w="10530" w:type="dxa"/>
            <w:gridSpan w:val="4"/>
            <w:tcBorders>
              <w:bottom w:val="single" w:sz="8" w:space="0" w:color="auto"/>
            </w:tcBorders>
          </w:tcPr>
          <w:p w14:paraId="6BE6C8AD" w14:textId="05DE6B9C" w:rsidR="0057333F" w:rsidRDefault="0057333F" w:rsidP="0057333F">
            <w:r>
              <w:t>EB:</w:t>
            </w:r>
            <w:r w:rsidR="00414B11">
              <w:t xml:space="preserve"> Your address has been updated via online or mobile banking. If you did not make this change, please contact us immediately at 888-888-8888.</w:t>
            </w:r>
          </w:p>
          <w:p w14:paraId="106A0EFD" w14:textId="77777777" w:rsidR="0057333F" w:rsidRDefault="0057333F" w:rsidP="0057333F"/>
          <w:p w14:paraId="228441D6" w14:textId="77777777" w:rsidR="0057333F" w:rsidRDefault="0057333F" w:rsidP="0057333F"/>
          <w:p w14:paraId="5E73189B" w14:textId="77777777" w:rsidR="0057333F" w:rsidRDefault="0057333F" w:rsidP="0057333F"/>
          <w:p w14:paraId="5E5D9B65" w14:textId="77777777" w:rsidR="0057333F" w:rsidRDefault="0057333F" w:rsidP="0057333F"/>
          <w:p w14:paraId="73BB5C60" w14:textId="77777777" w:rsidR="0057333F" w:rsidRDefault="0057333F" w:rsidP="0057333F"/>
          <w:p w14:paraId="58A8106D" w14:textId="77777777" w:rsidR="0057333F" w:rsidRDefault="0057333F" w:rsidP="0057333F"/>
          <w:p w14:paraId="6C3F1D49" w14:textId="77777777" w:rsidR="0057333F" w:rsidRDefault="0057333F" w:rsidP="0057333F"/>
          <w:p w14:paraId="35B16B26" w14:textId="77777777" w:rsidR="0057333F" w:rsidRDefault="0057333F" w:rsidP="0057333F"/>
          <w:p w14:paraId="2B17EA62" w14:textId="77777777" w:rsidR="0057333F" w:rsidRDefault="0057333F" w:rsidP="0057333F"/>
          <w:p w14:paraId="19FDEDC4" w14:textId="77777777" w:rsidR="0057333F" w:rsidRDefault="0057333F" w:rsidP="0057333F"/>
          <w:p w14:paraId="7990E790" w14:textId="428F7C3D" w:rsidR="0057333F" w:rsidRPr="00F07ECA" w:rsidRDefault="0057333F" w:rsidP="0057333F"/>
        </w:tc>
      </w:tr>
    </w:tbl>
    <w:p w14:paraId="7965C3A1" w14:textId="77777777" w:rsidR="002C28BE" w:rsidRDefault="002C28BE" w:rsidP="00A66016">
      <w:pPr>
        <w:pStyle w:val="Heading1"/>
        <w:ind w:left="-630"/>
      </w:pPr>
    </w:p>
    <w:p w14:paraId="68D3D7F6" w14:textId="77777777" w:rsidR="002C28BE" w:rsidRDefault="002C28BE">
      <w:pPr>
        <w:rPr>
          <w:rFonts w:asciiTheme="majorHAnsi" w:eastAsiaTheme="majorEastAsia" w:hAnsiTheme="majorHAnsi" w:cstheme="majorBidi"/>
          <w:color w:val="2F5496" w:themeColor="accent1" w:themeShade="BF"/>
          <w:sz w:val="32"/>
          <w:szCs w:val="32"/>
        </w:rPr>
      </w:pPr>
      <w:r>
        <w:br w:type="page"/>
      </w:r>
    </w:p>
    <w:p w14:paraId="57F54CF2" w14:textId="2210DBE0" w:rsidR="00A66016" w:rsidRDefault="001F3720" w:rsidP="00A66016">
      <w:pPr>
        <w:pStyle w:val="Heading1"/>
        <w:ind w:left="-630"/>
      </w:pPr>
      <w:r>
        <w:lastRenderedPageBreak/>
        <w:t>Banno Parameters</w:t>
      </w:r>
    </w:p>
    <w:p w14:paraId="5955D931" w14:textId="582CC7F6" w:rsidR="00A66016" w:rsidRPr="00A66016" w:rsidRDefault="00A66016" w:rsidP="00A66016">
      <w:pPr>
        <w:ind w:hanging="630"/>
      </w:pPr>
      <w:r>
        <w:t>The following will be used for setup in Banno.</w:t>
      </w:r>
    </w:p>
    <w:tbl>
      <w:tblPr>
        <w:tblStyle w:val="TableGrid"/>
        <w:tblW w:w="10530" w:type="dxa"/>
        <w:tblInd w:w="-635" w:type="dxa"/>
        <w:tblLayout w:type="fixed"/>
        <w:tblLook w:val="04A0" w:firstRow="1" w:lastRow="0" w:firstColumn="1" w:lastColumn="0" w:noHBand="0" w:noVBand="1"/>
      </w:tblPr>
      <w:tblGrid>
        <w:gridCol w:w="1980"/>
        <w:gridCol w:w="4320"/>
        <w:gridCol w:w="4230"/>
      </w:tblGrid>
      <w:tr w:rsidR="0057333F" w14:paraId="2A55A813" w14:textId="77777777" w:rsidTr="003E4297">
        <w:trPr>
          <w:cantSplit/>
        </w:trPr>
        <w:tc>
          <w:tcPr>
            <w:tcW w:w="1980" w:type="dxa"/>
            <w:tcBorders>
              <w:top w:val="single" w:sz="8" w:space="0" w:color="auto"/>
            </w:tcBorders>
          </w:tcPr>
          <w:p w14:paraId="1378DC27" w14:textId="77777777" w:rsidR="0057333F" w:rsidRPr="00FF0F68" w:rsidRDefault="0057333F" w:rsidP="00B42405">
            <w:pPr>
              <w:rPr>
                <w:b/>
                <w:bCs/>
              </w:rPr>
            </w:pPr>
            <w:r w:rsidRPr="00FF0F68">
              <w:rPr>
                <w:b/>
                <w:bCs/>
              </w:rPr>
              <w:t>Info Type</w:t>
            </w:r>
          </w:p>
        </w:tc>
        <w:tc>
          <w:tcPr>
            <w:tcW w:w="4320" w:type="dxa"/>
            <w:tcBorders>
              <w:top w:val="single" w:sz="8" w:space="0" w:color="auto"/>
            </w:tcBorders>
          </w:tcPr>
          <w:p w14:paraId="1EA28EA6" w14:textId="77777777" w:rsidR="0057333F" w:rsidRPr="00FF0F68" w:rsidRDefault="0057333F" w:rsidP="00B42405">
            <w:pPr>
              <w:rPr>
                <w:b/>
                <w:bCs/>
              </w:rPr>
            </w:pPr>
            <w:r w:rsidRPr="00FF0F68">
              <w:rPr>
                <w:b/>
                <w:bCs/>
              </w:rPr>
              <w:t>Description</w:t>
            </w:r>
          </w:p>
        </w:tc>
        <w:tc>
          <w:tcPr>
            <w:tcW w:w="4230" w:type="dxa"/>
            <w:tcBorders>
              <w:top w:val="single" w:sz="8" w:space="0" w:color="auto"/>
            </w:tcBorders>
            <w:vAlign w:val="center"/>
          </w:tcPr>
          <w:p w14:paraId="11454ADD" w14:textId="6B6B1206" w:rsidR="0057333F" w:rsidRPr="00FF0F68" w:rsidRDefault="0057333F" w:rsidP="00B42405">
            <w:pPr>
              <w:jc w:val="center"/>
              <w:rPr>
                <w:b/>
                <w:bCs/>
              </w:rPr>
            </w:pPr>
            <w:r w:rsidRPr="00FF0F68">
              <w:rPr>
                <w:b/>
                <w:bCs/>
              </w:rPr>
              <w:t>CU Response</w:t>
            </w:r>
          </w:p>
        </w:tc>
      </w:tr>
      <w:tr w:rsidR="00444199" w14:paraId="2A5BA0A3" w14:textId="77777777" w:rsidTr="00EF21AC">
        <w:trPr>
          <w:cantSplit/>
        </w:trPr>
        <w:tc>
          <w:tcPr>
            <w:tcW w:w="1980" w:type="dxa"/>
          </w:tcPr>
          <w:p w14:paraId="378A8A0B" w14:textId="7AFDCB89" w:rsidR="00444199" w:rsidRPr="00962472" w:rsidRDefault="00444199" w:rsidP="00B42405">
            <w:r w:rsidRPr="00962472">
              <w:t>Banno</w:t>
            </w:r>
            <w:r w:rsidR="005F1102" w:rsidRPr="00962472">
              <w:t xml:space="preserve"> Live?</w:t>
            </w:r>
          </w:p>
        </w:tc>
        <w:tc>
          <w:tcPr>
            <w:tcW w:w="4320" w:type="dxa"/>
          </w:tcPr>
          <w:p w14:paraId="6520666F" w14:textId="596B01AE" w:rsidR="00444199" w:rsidRPr="00962472" w:rsidRDefault="00444199" w:rsidP="00B42405">
            <w:pPr>
              <w:rPr>
                <w:strike/>
              </w:rPr>
            </w:pPr>
            <w:r w:rsidRPr="00962472">
              <w:t xml:space="preserve">Is the CU currently LIVE to members with either Banno </w:t>
            </w:r>
            <w:r w:rsidR="005F1102" w:rsidRPr="00962472">
              <w:t xml:space="preserve">Online </w:t>
            </w:r>
            <w:r w:rsidRPr="00962472">
              <w:t xml:space="preserve">or Banno Mobile?  </w:t>
            </w:r>
          </w:p>
          <w:p w14:paraId="162F3F61" w14:textId="77777777" w:rsidR="00340ECA" w:rsidRPr="00962472" w:rsidRDefault="00340ECA" w:rsidP="00B42405">
            <w:pPr>
              <w:rPr>
                <w:strike/>
              </w:rPr>
            </w:pPr>
          </w:p>
          <w:p w14:paraId="58DE88A8" w14:textId="07B52338" w:rsidR="000478A2" w:rsidRPr="00962472" w:rsidRDefault="005F1102" w:rsidP="00B42405">
            <w:r w:rsidRPr="00962472">
              <w:t>Enter “YES” or “NO”.</w:t>
            </w:r>
          </w:p>
        </w:tc>
        <w:tc>
          <w:tcPr>
            <w:tcW w:w="4230" w:type="dxa"/>
            <w:vAlign w:val="center"/>
          </w:tcPr>
          <w:p w14:paraId="6C2D8BDD" w14:textId="77777777" w:rsidR="00444199" w:rsidRDefault="00444199" w:rsidP="00B42405">
            <w:pPr>
              <w:jc w:val="center"/>
            </w:pPr>
          </w:p>
        </w:tc>
      </w:tr>
      <w:tr w:rsidR="00444199" w14:paraId="514CD273" w14:textId="77777777" w:rsidTr="00EF21AC">
        <w:trPr>
          <w:cantSplit/>
        </w:trPr>
        <w:tc>
          <w:tcPr>
            <w:tcW w:w="1980" w:type="dxa"/>
          </w:tcPr>
          <w:p w14:paraId="182E50BA" w14:textId="5A218A5F" w:rsidR="00444199" w:rsidRPr="00962472" w:rsidRDefault="002C170C" w:rsidP="00B42405">
            <w:r w:rsidRPr="00962472">
              <w:t>Test Users</w:t>
            </w:r>
          </w:p>
        </w:tc>
        <w:tc>
          <w:tcPr>
            <w:tcW w:w="4320" w:type="dxa"/>
          </w:tcPr>
          <w:p w14:paraId="43DBBC4C" w14:textId="235D9D5F" w:rsidR="00444199" w:rsidRPr="00962472" w:rsidRDefault="00F22A43" w:rsidP="00B42405">
            <w:r w:rsidRPr="00962472">
              <w:t xml:space="preserve">If </w:t>
            </w:r>
            <w:r w:rsidRPr="00962472">
              <w:rPr>
                <w:b/>
                <w:bCs/>
              </w:rPr>
              <w:t>Banno Live?</w:t>
            </w:r>
            <w:r w:rsidRPr="00962472">
              <w:t xml:space="preserve"> is “</w:t>
            </w:r>
            <w:r w:rsidRPr="00962472">
              <w:rPr>
                <w:b/>
                <w:bCs/>
              </w:rPr>
              <w:t>YES</w:t>
            </w:r>
            <w:r w:rsidRPr="00962472">
              <w:t>”, li</w:t>
            </w:r>
            <w:r w:rsidR="00444199" w:rsidRPr="00962472">
              <w:t xml:space="preserve">st Banno </w:t>
            </w:r>
            <w:r w:rsidRPr="00962472">
              <w:t>u</w:t>
            </w:r>
            <w:r w:rsidR="00444199" w:rsidRPr="00962472">
              <w:t>ser</w:t>
            </w:r>
            <w:r w:rsidRPr="00962472">
              <w:t>n</w:t>
            </w:r>
            <w:r w:rsidR="00444199" w:rsidRPr="00962472">
              <w:t xml:space="preserve">ames of users that will test </w:t>
            </w:r>
            <w:r w:rsidR="008B62D2" w:rsidRPr="00962472">
              <w:t>Address Change</w:t>
            </w:r>
            <w:r w:rsidR="00917273" w:rsidRPr="00962472">
              <w:t xml:space="preserve"> before </w:t>
            </w:r>
            <w:r w:rsidR="00E56BB8" w:rsidRPr="00962472">
              <w:t xml:space="preserve">enabling the </w:t>
            </w:r>
            <w:r w:rsidR="005F1102" w:rsidRPr="00962472">
              <w:t xml:space="preserve">feature </w:t>
            </w:r>
            <w:r w:rsidR="00E56BB8" w:rsidRPr="00962472">
              <w:t>for all users</w:t>
            </w:r>
            <w:r w:rsidR="00917273" w:rsidRPr="00962472">
              <w:t>.</w:t>
            </w:r>
          </w:p>
        </w:tc>
        <w:tc>
          <w:tcPr>
            <w:tcW w:w="4230" w:type="dxa"/>
            <w:vAlign w:val="center"/>
          </w:tcPr>
          <w:p w14:paraId="5FD38972" w14:textId="77777777" w:rsidR="00444199" w:rsidRDefault="00444199" w:rsidP="00B42405">
            <w:pPr>
              <w:jc w:val="center"/>
            </w:pPr>
          </w:p>
        </w:tc>
      </w:tr>
    </w:tbl>
    <w:p w14:paraId="5C78D696" w14:textId="520C4F4F" w:rsidR="003276C6" w:rsidRDefault="003276C6"/>
    <w:sectPr w:rsidR="003276C6" w:rsidSect="002677EB">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1F52"/>
    <w:multiLevelType w:val="hybridMultilevel"/>
    <w:tmpl w:val="6762776E"/>
    <w:lvl w:ilvl="0" w:tplc="4DECEF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69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2197D"/>
    <w:rsid w:val="000244FD"/>
    <w:rsid w:val="000373AC"/>
    <w:rsid w:val="00041269"/>
    <w:rsid w:val="000478A2"/>
    <w:rsid w:val="00060DC5"/>
    <w:rsid w:val="000619D2"/>
    <w:rsid w:val="00075A5D"/>
    <w:rsid w:val="000A0D91"/>
    <w:rsid w:val="000A4F96"/>
    <w:rsid w:val="000A6D6C"/>
    <w:rsid w:val="000C6E18"/>
    <w:rsid w:val="000D39BF"/>
    <w:rsid w:val="000E08E9"/>
    <w:rsid w:val="001472E7"/>
    <w:rsid w:val="00152297"/>
    <w:rsid w:val="00157674"/>
    <w:rsid w:val="001827AB"/>
    <w:rsid w:val="001A5544"/>
    <w:rsid w:val="001F0506"/>
    <w:rsid w:val="001F3720"/>
    <w:rsid w:val="001F42E0"/>
    <w:rsid w:val="001F5123"/>
    <w:rsid w:val="00202B59"/>
    <w:rsid w:val="002439D2"/>
    <w:rsid w:val="002519FD"/>
    <w:rsid w:val="00253EAC"/>
    <w:rsid w:val="00263C61"/>
    <w:rsid w:val="002677EB"/>
    <w:rsid w:val="002C113A"/>
    <w:rsid w:val="002C170C"/>
    <w:rsid w:val="002C28BE"/>
    <w:rsid w:val="002D7406"/>
    <w:rsid w:val="002E2675"/>
    <w:rsid w:val="0031028E"/>
    <w:rsid w:val="003276C6"/>
    <w:rsid w:val="003325D7"/>
    <w:rsid w:val="00333673"/>
    <w:rsid w:val="00340ECA"/>
    <w:rsid w:val="00346407"/>
    <w:rsid w:val="00367E1E"/>
    <w:rsid w:val="003715F4"/>
    <w:rsid w:val="00377597"/>
    <w:rsid w:val="00383238"/>
    <w:rsid w:val="003926C0"/>
    <w:rsid w:val="003D39DD"/>
    <w:rsid w:val="003E14A0"/>
    <w:rsid w:val="00401EB6"/>
    <w:rsid w:val="00414B11"/>
    <w:rsid w:val="0041679F"/>
    <w:rsid w:val="00423863"/>
    <w:rsid w:val="004419D5"/>
    <w:rsid w:val="00444199"/>
    <w:rsid w:val="004472A3"/>
    <w:rsid w:val="00464312"/>
    <w:rsid w:val="00485DFE"/>
    <w:rsid w:val="00492982"/>
    <w:rsid w:val="00494228"/>
    <w:rsid w:val="004B3CE4"/>
    <w:rsid w:val="004F5348"/>
    <w:rsid w:val="005252E7"/>
    <w:rsid w:val="00534310"/>
    <w:rsid w:val="00543B45"/>
    <w:rsid w:val="00544FCC"/>
    <w:rsid w:val="00571C82"/>
    <w:rsid w:val="0057333F"/>
    <w:rsid w:val="005A1969"/>
    <w:rsid w:val="005A76F4"/>
    <w:rsid w:val="005B1EF2"/>
    <w:rsid w:val="005D2CF2"/>
    <w:rsid w:val="005D6152"/>
    <w:rsid w:val="005F1102"/>
    <w:rsid w:val="005F264C"/>
    <w:rsid w:val="005F35F9"/>
    <w:rsid w:val="005F3958"/>
    <w:rsid w:val="006035EB"/>
    <w:rsid w:val="0061575A"/>
    <w:rsid w:val="00624810"/>
    <w:rsid w:val="00646DB7"/>
    <w:rsid w:val="0067344A"/>
    <w:rsid w:val="006838E4"/>
    <w:rsid w:val="006A5A38"/>
    <w:rsid w:val="006A7EE9"/>
    <w:rsid w:val="006B748B"/>
    <w:rsid w:val="006D3432"/>
    <w:rsid w:val="006D796B"/>
    <w:rsid w:val="006E3D43"/>
    <w:rsid w:val="006E75A0"/>
    <w:rsid w:val="00702741"/>
    <w:rsid w:val="00734350"/>
    <w:rsid w:val="00736BF9"/>
    <w:rsid w:val="00746E83"/>
    <w:rsid w:val="00756CC1"/>
    <w:rsid w:val="007663D0"/>
    <w:rsid w:val="0076705A"/>
    <w:rsid w:val="007714A3"/>
    <w:rsid w:val="00777059"/>
    <w:rsid w:val="007817F7"/>
    <w:rsid w:val="00782B7F"/>
    <w:rsid w:val="007835FC"/>
    <w:rsid w:val="007C1122"/>
    <w:rsid w:val="007C482C"/>
    <w:rsid w:val="007C5CA5"/>
    <w:rsid w:val="007C7B55"/>
    <w:rsid w:val="007D31E6"/>
    <w:rsid w:val="007F3F8A"/>
    <w:rsid w:val="00800CD1"/>
    <w:rsid w:val="00801812"/>
    <w:rsid w:val="00810DD6"/>
    <w:rsid w:val="00831248"/>
    <w:rsid w:val="0083649D"/>
    <w:rsid w:val="00860FDE"/>
    <w:rsid w:val="008618E7"/>
    <w:rsid w:val="00861AAE"/>
    <w:rsid w:val="00874EE0"/>
    <w:rsid w:val="008A1253"/>
    <w:rsid w:val="008A7FB8"/>
    <w:rsid w:val="008B62D2"/>
    <w:rsid w:val="008C1A1B"/>
    <w:rsid w:val="009064F9"/>
    <w:rsid w:val="00917273"/>
    <w:rsid w:val="0092373F"/>
    <w:rsid w:val="00932741"/>
    <w:rsid w:val="00935CFC"/>
    <w:rsid w:val="009461C8"/>
    <w:rsid w:val="00954A4C"/>
    <w:rsid w:val="009579F4"/>
    <w:rsid w:val="0096023A"/>
    <w:rsid w:val="00962472"/>
    <w:rsid w:val="009A6D1C"/>
    <w:rsid w:val="009D7393"/>
    <w:rsid w:val="009D7B0A"/>
    <w:rsid w:val="00A02671"/>
    <w:rsid w:val="00A3383D"/>
    <w:rsid w:val="00A50417"/>
    <w:rsid w:val="00A52B94"/>
    <w:rsid w:val="00A55FAC"/>
    <w:rsid w:val="00A57C16"/>
    <w:rsid w:val="00A66016"/>
    <w:rsid w:val="00AB41A3"/>
    <w:rsid w:val="00AE2B53"/>
    <w:rsid w:val="00B0455D"/>
    <w:rsid w:val="00B13F28"/>
    <w:rsid w:val="00B176AB"/>
    <w:rsid w:val="00B20F02"/>
    <w:rsid w:val="00B243FC"/>
    <w:rsid w:val="00B27AB1"/>
    <w:rsid w:val="00B41785"/>
    <w:rsid w:val="00B82CE1"/>
    <w:rsid w:val="00B919BA"/>
    <w:rsid w:val="00BB5164"/>
    <w:rsid w:val="00BC4843"/>
    <w:rsid w:val="00BD417C"/>
    <w:rsid w:val="00BF4682"/>
    <w:rsid w:val="00BF6F3B"/>
    <w:rsid w:val="00C17575"/>
    <w:rsid w:val="00C20B80"/>
    <w:rsid w:val="00C44318"/>
    <w:rsid w:val="00C8393A"/>
    <w:rsid w:val="00CC022B"/>
    <w:rsid w:val="00CE3DD5"/>
    <w:rsid w:val="00CF2CD7"/>
    <w:rsid w:val="00CF3623"/>
    <w:rsid w:val="00D348F7"/>
    <w:rsid w:val="00D42FC5"/>
    <w:rsid w:val="00D81373"/>
    <w:rsid w:val="00D83D21"/>
    <w:rsid w:val="00D902B8"/>
    <w:rsid w:val="00DF69DE"/>
    <w:rsid w:val="00E06F77"/>
    <w:rsid w:val="00E11650"/>
    <w:rsid w:val="00E22F83"/>
    <w:rsid w:val="00E37122"/>
    <w:rsid w:val="00E40608"/>
    <w:rsid w:val="00E56BB8"/>
    <w:rsid w:val="00E60204"/>
    <w:rsid w:val="00E70E44"/>
    <w:rsid w:val="00E76032"/>
    <w:rsid w:val="00E8670D"/>
    <w:rsid w:val="00EA59EB"/>
    <w:rsid w:val="00EC0451"/>
    <w:rsid w:val="00ED7BF4"/>
    <w:rsid w:val="00EF21AC"/>
    <w:rsid w:val="00F031DC"/>
    <w:rsid w:val="00F07ECA"/>
    <w:rsid w:val="00F22A43"/>
    <w:rsid w:val="00F760E2"/>
    <w:rsid w:val="00F90B3D"/>
    <w:rsid w:val="00FA5364"/>
    <w:rsid w:val="00FB3BB9"/>
    <w:rsid w:val="00FD7A8D"/>
    <w:rsid w:val="00FF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0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70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0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274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464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407"/>
    <w:rPr>
      <w:rFonts w:asciiTheme="majorHAnsi" w:eastAsiaTheme="majorEastAsia" w:hAnsiTheme="majorHAnsi" w:cstheme="majorBidi"/>
      <w:spacing w:val="-10"/>
      <w:kern w:val="28"/>
      <w:sz w:val="56"/>
      <w:szCs w:val="56"/>
    </w:rPr>
  </w:style>
  <w:style w:type="paragraph" w:styleId="NoSpacing">
    <w:name w:val="No Spacing"/>
    <w:uiPriority w:val="1"/>
    <w:qFormat/>
    <w:rsid w:val="006E75A0"/>
    <w:pPr>
      <w:spacing w:after="0" w:line="240" w:lineRule="auto"/>
    </w:pPr>
  </w:style>
  <w:style w:type="character" w:styleId="PlaceholderText">
    <w:name w:val="Placeholder Text"/>
    <w:basedOn w:val="DefaultParagraphFont"/>
    <w:uiPriority w:val="99"/>
    <w:semiHidden/>
    <w:rsid w:val="00756CC1"/>
    <w:rPr>
      <w:color w:val="808080"/>
    </w:rPr>
  </w:style>
  <w:style w:type="character" w:styleId="CommentReference">
    <w:name w:val="annotation reference"/>
    <w:basedOn w:val="DefaultParagraphFont"/>
    <w:uiPriority w:val="99"/>
    <w:semiHidden/>
    <w:unhideWhenUsed/>
    <w:rsid w:val="00F760E2"/>
    <w:rPr>
      <w:sz w:val="16"/>
      <w:szCs w:val="16"/>
    </w:rPr>
  </w:style>
  <w:style w:type="paragraph" w:styleId="CommentText">
    <w:name w:val="annotation text"/>
    <w:basedOn w:val="Normal"/>
    <w:link w:val="CommentTextChar"/>
    <w:uiPriority w:val="99"/>
    <w:unhideWhenUsed/>
    <w:rsid w:val="00F760E2"/>
    <w:pPr>
      <w:spacing w:line="240" w:lineRule="auto"/>
    </w:pPr>
    <w:rPr>
      <w:sz w:val="20"/>
      <w:szCs w:val="20"/>
    </w:rPr>
  </w:style>
  <w:style w:type="character" w:customStyle="1" w:styleId="CommentTextChar">
    <w:name w:val="Comment Text Char"/>
    <w:basedOn w:val="DefaultParagraphFont"/>
    <w:link w:val="CommentText"/>
    <w:uiPriority w:val="99"/>
    <w:rsid w:val="00F760E2"/>
    <w:rPr>
      <w:sz w:val="20"/>
      <w:szCs w:val="20"/>
    </w:rPr>
  </w:style>
  <w:style w:type="paragraph" w:styleId="CommentSubject">
    <w:name w:val="annotation subject"/>
    <w:basedOn w:val="CommentText"/>
    <w:next w:val="CommentText"/>
    <w:link w:val="CommentSubjectChar"/>
    <w:uiPriority w:val="99"/>
    <w:semiHidden/>
    <w:unhideWhenUsed/>
    <w:rsid w:val="00F760E2"/>
    <w:rPr>
      <w:b/>
      <w:bCs/>
    </w:rPr>
  </w:style>
  <w:style w:type="character" w:customStyle="1" w:styleId="CommentSubjectChar">
    <w:name w:val="Comment Subject Char"/>
    <w:basedOn w:val="CommentTextChar"/>
    <w:link w:val="CommentSubject"/>
    <w:uiPriority w:val="99"/>
    <w:semiHidden/>
    <w:rsid w:val="00F760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Props1.xml><?xml version="1.0" encoding="utf-8"?>
<ds:datastoreItem xmlns:ds="http://schemas.openxmlformats.org/officeDocument/2006/customXml" ds:itemID="{65BD55E8-81A3-42A4-89DC-516014481E1E}">
  <ds:schemaRefs>
    <ds:schemaRef ds:uri="http://schemas.microsoft.com/sharepoint/v3/contenttype/forms"/>
  </ds:schemaRefs>
</ds:datastoreItem>
</file>

<file path=customXml/itemProps2.xml><?xml version="1.0" encoding="utf-8"?>
<ds:datastoreItem xmlns:ds="http://schemas.openxmlformats.org/officeDocument/2006/customXml" ds:itemID="{E0CBE99C-0F1A-4248-AAAF-3BB10F7B7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9E6797-D399-40AD-B50C-F965DC60CBE2}">
  <ds:schemaRefs>
    <ds:schemaRef ds:uri="http://schemas.openxmlformats.org/officeDocument/2006/bibliography"/>
  </ds:schemaRefs>
</ds:datastoreItem>
</file>

<file path=customXml/itemProps4.xml><?xml version="1.0" encoding="utf-8"?>
<ds:datastoreItem xmlns:ds="http://schemas.openxmlformats.org/officeDocument/2006/customXml" ds:itemID="{A0AE4F2E-17AC-4D38-BD6F-B007E7F4DC47}">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Rachel James</cp:lastModifiedBy>
  <cp:revision>2</cp:revision>
  <cp:lastPrinted>2022-10-19T21:04:00Z</cp:lastPrinted>
  <dcterms:created xsi:type="dcterms:W3CDTF">2024-04-17T11:14:00Z</dcterms:created>
  <dcterms:modified xsi:type="dcterms:W3CDTF">2024-04-17T11:14:00Z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