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0847" w14:textId="0AA5117D" w:rsidR="00993280" w:rsidRDefault="00E27232">
      <w:pPr>
        <w:rPr>
          <w:b/>
          <w:bCs/>
          <w:sz w:val="28"/>
          <w:szCs w:val="28"/>
        </w:rPr>
      </w:pPr>
      <w:r w:rsidRPr="00E27232">
        <w:rPr>
          <w:b/>
          <w:bCs/>
          <w:sz w:val="28"/>
          <w:szCs w:val="28"/>
        </w:rPr>
        <w:t>ODT Opt-in</w:t>
      </w:r>
      <w:r w:rsidR="00492982" w:rsidRPr="00B243FC">
        <w:rPr>
          <w:b/>
          <w:bCs/>
          <w:sz w:val="28"/>
          <w:szCs w:val="28"/>
        </w:rPr>
        <w:t xml:space="preserve"> </w:t>
      </w:r>
      <w:r w:rsidRPr="00E27232">
        <w:rPr>
          <w:b/>
          <w:bCs/>
          <w:sz w:val="28"/>
          <w:szCs w:val="28"/>
        </w:rPr>
        <w:t>Config Worksheet</w:t>
      </w:r>
      <w:r w:rsidR="00492982" w:rsidRPr="00B243FC">
        <w:rPr>
          <w:b/>
          <w:bCs/>
          <w:sz w:val="28"/>
          <w:szCs w:val="28"/>
        </w:rPr>
        <w:t xml:space="preserve"> – </w:t>
      </w:r>
      <w:r w:rsidR="00FF3655" w:rsidRPr="00FF3655">
        <w:rPr>
          <w:b/>
          <w:bCs/>
          <w:sz w:val="28"/>
          <w:szCs w:val="28"/>
        </w:rPr>
        <w:t>BANNO.ODTOPTIN.V1.POW</w:t>
      </w:r>
    </w:p>
    <w:p w14:paraId="6AAAE639" w14:textId="77777777" w:rsidR="00B243FC" w:rsidRPr="00B243FC" w:rsidRDefault="00B243FC">
      <w:pPr>
        <w:rPr>
          <w:b/>
          <w:bCs/>
          <w:sz w:val="28"/>
          <w:szCs w:val="28"/>
        </w:rPr>
      </w:pPr>
    </w:p>
    <w:p w14:paraId="1F6DF8C8" w14:textId="3685AA62" w:rsidR="00492982" w:rsidRDefault="00492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3888"/>
        <w:gridCol w:w="1205"/>
        <w:gridCol w:w="1866"/>
      </w:tblGrid>
      <w:tr w:rsidR="00BF6F3B" w14:paraId="48204456" w14:textId="77777777" w:rsidTr="00FF3655">
        <w:tc>
          <w:tcPr>
            <w:tcW w:w="2306" w:type="dxa"/>
            <w:vAlign w:val="center"/>
          </w:tcPr>
          <w:p w14:paraId="407E258C" w14:textId="64389552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Name</w:t>
            </w:r>
          </w:p>
        </w:tc>
        <w:tc>
          <w:tcPr>
            <w:tcW w:w="3888" w:type="dxa"/>
            <w:vAlign w:val="center"/>
          </w:tcPr>
          <w:p w14:paraId="4273415A" w14:textId="77E58CFE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Description</w:t>
            </w:r>
          </w:p>
        </w:tc>
        <w:tc>
          <w:tcPr>
            <w:tcW w:w="1205" w:type="dxa"/>
            <w:vAlign w:val="center"/>
          </w:tcPr>
          <w:p w14:paraId="5A9EFD33" w14:textId="7E5671A8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>Default Value</w:t>
            </w:r>
          </w:p>
        </w:tc>
        <w:tc>
          <w:tcPr>
            <w:tcW w:w="1866" w:type="dxa"/>
            <w:vAlign w:val="center"/>
          </w:tcPr>
          <w:p w14:paraId="20646FC3" w14:textId="4F6D1CDE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 xml:space="preserve">CU </w:t>
            </w:r>
            <w:r w:rsidR="007D31E6">
              <w:rPr>
                <w:b/>
                <w:bCs/>
              </w:rPr>
              <w:t>Response</w:t>
            </w:r>
          </w:p>
        </w:tc>
      </w:tr>
      <w:tr w:rsidR="00BF6F3B" w14:paraId="5E8A7198" w14:textId="77777777" w:rsidTr="00FF3655">
        <w:tc>
          <w:tcPr>
            <w:tcW w:w="2306" w:type="dxa"/>
          </w:tcPr>
          <w:p w14:paraId="18EA6F6F" w14:textId="7A37CA77" w:rsidR="00BF6F3B" w:rsidRDefault="008232AC" w:rsidP="00BF6F3B">
            <w:r>
              <w:t>Share Tracking Type</w:t>
            </w:r>
          </w:p>
        </w:tc>
        <w:tc>
          <w:tcPr>
            <w:tcW w:w="3888" w:type="dxa"/>
          </w:tcPr>
          <w:p w14:paraId="74C1C725" w14:textId="1EB6649F" w:rsidR="00BF6F3B" w:rsidRDefault="008232AC" w:rsidP="008232AC">
            <w:r>
              <w:t xml:space="preserve">The Share tracking type to use to store the share's current ODT status. Valid </w:t>
            </w:r>
            <w:proofErr w:type="gramStart"/>
            <w:r>
              <w:t>Values :</w:t>
            </w:r>
            <w:proofErr w:type="gramEnd"/>
            <w:r>
              <w:t xml:space="preserve"> 30 - 99</w:t>
            </w:r>
          </w:p>
        </w:tc>
        <w:tc>
          <w:tcPr>
            <w:tcW w:w="1205" w:type="dxa"/>
            <w:vAlign w:val="center"/>
          </w:tcPr>
          <w:p w14:paraId="4901BDC4" w14:textId="27031D6E" w:rsidR="00BF6F3B" w:rsidRDefault="008232AC" w:rsidP="00B243FC">
            <w:pPr>
              <w:jc w:val="center"/>
            </w:pPr>
            <w:r>
              <w:t>&lt;required&gt;</w:t>
            </w:r>
          </w:p>
        </w:tc>
        <w:tc>
          <w:tcPr>
            <w:tcW w:w="1866" w:type="dxa"/>
            <w:vAlign w:val="center"/>
          </w:tcPr>
          <w:p w14:paraId="62D9F49F" w14:textId="77777777" w:rsidR="00BF6F3B" w:rsidRDefault="00BF6F3B" w:rsidP="00B243FC">
            <w:pPr>
              <w:jc w:val="center"/>
            </w:pPr>
          </w:p>
        </w:tc>
      </w:tr>
      <w:tr w:rsidR="00BF6F3B" w14:paraId="4CBBA5C7" w14:textId="77777777" w:rsidTr="00FF3655">
        <w:tc>
          <w:tcPr>
            <w:tcW w:w="2306" w:type="dxa"/>
          </w:tcPr>
          <w:p w14:paraId="0034BB66" w14:textId="2E57B0AF" w:rsidR="00BF6F3B" w:rsidRDefault="008232AC" w:rsidP="00BF6F3B">
            <w:r>
              <w:t>Ineligible Account Types</w:t>
            </w:r>
          </w:p>
        </w:tc>
        <w:tc>
          <w:tcPr>
            <w:tcW w:w="3888" w:type="dxa"/>
          </w:tcPr>
          <w:p w14:paraId="0205F01B" w14:textId="64B2574A" w:rsidR="00BF6F3B" w:rsidRDefault="008232AC" w:rsidP="00BF6F3B">
            <w:r>
              <w:t>Account types that will not be able to use this service. Entered in list format.</w:t>
            </w:r>
          </w:p>
        </w:tc>
        <w:tc>
          <w:tcPr>
            <w:tcW w:w="1205" w:type="dxa"/>
            <w:vAlign w:val="center"/>
          </w:tcPr>
          <w:p w14:paraId="38D8EA31" w14:textId="7D9924F3" w:rsidR="00BF6F3B" w:rsidRDefault="008232AC" w:rsidP="00B243FC">
            <w:pPr>
              <w:jc w:val="center"/>
            </w:pPr>
            <w:r>
              <w:t>None</w:t>
            </w:r>
          </w:p>
        </w:tc>
        <w:tc>
          <w:tcPr>
            <w:tcW w:w="1866" w:type="dxa"/>
            <w:vAlign w:val="center"/>
          </w:tcPr>
          <w:p w14:paraId="749D2C5B" w14:textId="77777777" w:rsidR="00BF6F3B" w:rsidRDefault="00BF6F3B" w:rsidP="00B243FC">
            <w:pPr>
              <w:jc w:val="center"/>
            </w:pPr>
          </w:p>
        </w:tc>
      </w:tr>
      <w:tr w:rsidR="00F031DC" w14:paraId="586022F8" w14:textId="77777777" w:rsidTr="00FF3655">
        <w:tc>
          <w:tcPr>
            <w:tcW w:w="2306" w:type="dxa"/>
          </w:tcPr>
          <w:p w14:paraId="03BFF42A" w14:textId="39A10E8A" w:rsidR="00F031DC" w:rsidRDefault="008232AC" w:rsidP="00263C61">
            <w:r>
              <w:t>Eligible Share Types</w:t>
            </w:r>
          </w:p>
        </w:tc>
        <w:tc>
          <w:tcPr>
            <w:tcW w:w="3888" w:type="dxa"/>
          </w:tcPr>
          <w:p w14:paraId="760694A5" w14:textId="158D4DB1" w:rsidR="00F031DC" w:rsidRDefault="008232AC" w:rsidP="00263C61">
            <w:r>
              <w:t>Eligible share types that can use the service. Entered in list format.</w:t>
            </w:r>
          </w:p>
        </w:tc>
        <w:tc>
          <w:tcPr>
            <w:tcW w:w="1205" w:type="dxa"/>
            <w:vAlign w:val="center"/>
          </w:tcPr>
          <w:p w14:paraId="75817047" w14:textId="522386F3" w:rsidR="00F031DC" w:rsidRDefault="008232AC" w:rsidP="00B243FC">
            <w:pPr>
              <w:jc w:val="center"/>
            </w:pPr>
            <w:r>
              <w:t>ALL</w:t>
            </w:r>
          </w:p>
        </w:tc>
        <w:tc>
          <w:tcPr>
            <w:tcW w:w="1866" w:type="dxa"/>
            <w:vAlign w:val="center"/>
          </w:tcPr>
          <w:p w14:paraId="01BD5B31" w14:textId="77777777" w:rsidR="00F031DC" w:rsidRDefault="00F031DC" w:rsidP="00B243FC">
            <w:pPr>
              <w:jc w:val="center"/>
            </w:pPr>
          </w:p>
        </w:tc>
      </w:tr>
      <w:tr w:rsidR="00B243FC" w14:paraId="4B690D17" w14:textId="77777777" w:rsidTr="00FF3655">
        <w:tc>
          <w:tcPr>
            <w:tcW w:w="2306" w:type="dxa"/>
          </w:tcPr>
          <w:p w14:paraId="73521185" w14:textId="7180B6BB" w:rsidR="00B243FC" w:rsidRDefault="008232AC" w:rsidP="00263C61">
            <w:r>
              <w:t>Account Warnings to exclude</w:t>
            </w:r>
          </w:p>
        </w:tc>
        <w:tc>
          <w:tcPr>
            <w:tcW w:w="3888" w:type="dxa"/>
          </w:tcPr>
          <w:p w14:paraId="2E770E42" w14:textId="44104576" w:rsidR="00B243FC" w:rsidRDefault="008232AC" w:rsidP="00263C61">
            <w:r>
              <w:t>Warnings on the account level that will make the account ineligible to use the service. Entered in list format.</w:t>
            </w:r>
          </w:p>
        </w:tc>
        <w:tc>
          <w:tcPr>
            <w:tcW w:w="1205" w:type="dxa"/>
            <w:vAlign w:val="center"/>
          </w:tcPr>
          <w:p w14:paraId="286AC608" w14:textId="5CAC277D" w:rsidR="00B243FC" w:rsidRDefault="008232AC" w:rsidP="00B243FC">
            <w:pPr>
              <w:jc w:val="center"/>
            </w:pPr>
            <w:r>
              <w:t>None</w:t>
            </w:r>
          </w:p>
        </w:tc>
        <w:tc>
          <w:tcPr>
            <w:tcW w:w="1866" w:type="dxa"/>
            <w:vAlign w:val="center"/>
          </w:tcPr>
          <w:p w14:paraId="233BE265" w14:textId="77777777" w:rsidR="00B243FC" w:rsidRDefault="00B243FC" w:rsidP="00B243FC">
            <w:pPr>
              <w:jc w:val="center"/>
            </w:pPr>
          </w:p>
        </w:tc>
      </w:tr>
      <w:tr w:rsidR="00B243FC" w14:paraId="142B4E89" w14:textId="77777777" w:rsidTr="00FF3655">
        <w:tc>
          <w:tcPr>
            <w:tcW w:w="2306" w:type="dxa"/>
          </w:tcPr>
          <w:p w14:paraId="3206A2B8" w14:textId="6673CDA1" w:rsidR="00B243FC" w:rsidRDefault="008232AC" w:rsidP="00263C61">
            <w:r>
              <w:t>Share Warnings to exclude</w:t>
            </w:r>
          </w:p>
        </w:tc>
        <w:tc>
          <w:tcPr>
            <w:tcW w:w="3888" w:type="dxa"/>
          </w:tcPr>
          <w:p w14:paraId="439D4449" w14:textId="544C7AEB" w:rsidR="00B243FC" w:rsidRDefault="008232AC" w:rsidP="00263C61">
            <w:r>
              <w:t>Warnings on the share level that will make the share ineligible to use the service. Entered in list format.</w:t>
            </w:r>
          </w:p>
        </w:tc>
        <w:tc>
          <w:tcPr>
            <w:tcW w:w="1205" w:type="dxa"/>
            <w:vAlign w:val="center"/>
          </w:tcPr>
          <w:p w14:paraId="03517D63" w14:textId="53039939" w:rsidR="00B243FC" w:rsidRDefault="008232AC" w:rsidP="00B243FC">
            <w:pPr>
              <w:jc w:val="center"/>
            </w:pPr>
            <w:r>
              <w:t>None</w:t>
            </w:r>
          </w:p>
        </w:tc>
        <w:tc>
          <w:tcPr>
            <w:tcW w:w="1866" w:type="dxa"/>
            <w:vAlign w:val="center"/>
          </w:tcPr>
          <w:p w14:paraId="684402C6" w14:textId="73FBE145" w:rsidR="00B243FC" w:rsidRDefault="00B243FC" w:rsidP="00B243FC"/>
        </w:tc>
      </w:tr>
      <w:tr w:rsidR="00F031DC" w14:paraId="724D15E1" w14:textId="77777777" w:rsidTr="00FF3655">
        <w:tc>
          <w:tcPr>
            <w:tcW w:w="2306" w:type="dxa"/>
          </w:tcPr>
          <w:p w14:paraId="79D4C68B" w14:textId="456FA7EC" w:rsidR="00F031DC" w:rsidRDefault="008232AC" w:rsidP="00263C61">
            <w:r>
              <w:t>Update Auth and Fee</w:t>
            </w:r>
          </w:p>
        </w:tc>
        <w:tc>
          <w:tcPr>
            <w:tcW w:w="3888" w:type="dxa"/>
          </w:tcPr>
          <w:p w14:paraId="72D1C6BE" w14:textId="20BC76D4" w:rsidR="00F031DC" w:rsidRDefault="008232AC" w:rsidP="008232AC">
            <w:r>
              <w:t>Should the “</w:t>
            </w:r>
            <w:r w:rsidRPr="008232AC">
              <w:t>ODT Source Code List 1</w:t>
            </w:r>
            <w:r>
              <w:t>” and “</w:t>
            </w:r>
            <w:r w:rsidRPr="008232AC">
              <w:t>ODT Auth/Fee Option 1</w:t>
            </w:r>
            <w:r>
              <w:t>” fields be updated by the program.</w:t>
            </w:r>
          </w:p>
        </w:tc>
        <w:tc>
          <w:tcPr>
            <w:tcW w:w="1205" w:type="dxa"/>
            <w:vAlign w:val="center"/>
          </w:tcPr>
          <w:p w14:paraId="74C257CA" w14:textId="02E99401" w:rsidR="00F031DC" w:rsidRDefault="008232AC" w:rsidP="00B243FC">
            <w:pPr>
              <w:jc w:val="center"/>
            </w:pPr>
            <w:r>
              <w:t>TRUE</w:t>
            </w:r>
          </w:p>
        </w:tc>
        <w:tc>
          <w:tcPr>
            <w:tcW w:w="1866" w:type="dxa"/>
            <w:vAlign w:val="center"/>
          </w:tcPr>
          <w:p w14:paraId="5EAEC875" w14:textId="77777777" w:rsidR="00F031DC" w:rsidRDefault="00F031DC" w:rsidP="00B243FC">
            <w:pPr>
              <w:jc w:val="center"/>
            </w:pPr>
          </w:p>
        </w:tc>
      </w:tr>
      <w:tr w:rsidR="00F031DC" w14:paraId="3EEBA9A5" w14:textId="77777777" w:rsidTr="00FF3655">
        <w:tc>
          <w:tcPr>
            <w:tcW w:w="2306" w:type="dxa"/>
          </w:tcPr>
          <w:p w14:paraId="7C7937D3" w14:textId="2AA2562E" w:rsidR="00F031DC" w:rsidRDefault="008232AC" w:rsidP="00263C61">
            <w:r>
              <w:t xml:space="preserve">Source Code List 1 </w:t>
            </w:r>
            <w:r w:rsidR="00FF3655">
              <w:t>ENROLL</w:t>
            </w:r>
          </w:p>
        </w:tc>
        <w:tc>
          <w:tcPr>
            <w:tcW w:w="3888" w:type="dxa"/>
          </w:tcPr>
          <w:p w14:paraId="515F8639" w14:textId="529F78DA" w:rsidR="00F031DC" w:rsidRDefault="008232AC" w:rsidP="008232AC">
            <w:r>
              <w:t>The value the field “</w:t>
            </w:r>
            <w:r w:rsidRPr="008232AC">
              <w:t>ODT Source Code List 1</w:t>
            </w:r>
            <w:r>
              <w:t>” field will be set to if the “Update Auth and Fee” parameter</w:t>
            </w:r>
            <w:r w:rsidR="00FF3655">
              <w:t xml:space="preserve"> (above) </w:t>
            </w:r>
            <w:r>
              <w:t>is set to TRUE</w:t>
            </w:r>
            <w:r w:rsidR="00FF3655">
              <w:t xml:space="preserve"> and the user is enrolling in ODT</w:t>
            </w:r>
          </w:p>
        </w:tc>
        <w:tc>
          <w:tcPr>
            <w:tcW w:w="1205" w:type="dxa"/>
            <w:vAlign w:val="center"/>
          </w:tcPr>
          <w:p w14:paraId="58AD1A30" w14:textId="22D58ED8" w:rsidR="00F031DC" w:rsidRDefault="00FF3655" w:rsidP="00B243FC">
            <w:pPr>
              <w:jc w:val="center"/>
            </w:pPr>
            <w:r>
              <w:t>Blank</w:t>
            </w:r>
          </w:p>
        </w:tc>
        <w:tc>
          <w:tcPr>
            <w:tcW w:w="1866" w:type="dxa"/>
            <w:vAlign w:val="center"/>
          </w:tcPr>
          <w:p w14:paraId="03D28958" w14:textId="77777777" w:rsidR="00F031DC" w:rsidRDefault="00F031DC" w:rsidP="00B243FC">
            <w:pPr>
              <w:jc w:val="center"/>
            </w:pPr>
          </w:p>
        </w:tc>
      </w:tr>
      <w:tr w:rsidR="00FF3655" w14:paraId="59226BAA" w14:textId="77777777" w:rsidTr="00FF3655">
        <w:tc>
          <w:tcPr>
            <w:tcW w:w="2306" w:type="dxa"/>
          </w:tcPr>
          <w:p w14:paraId="31E61AFB" w14:textId="5D82129C" w:rsidR="00FF3655" w:rsidRDefault="00FF3655" w:rsidP="00FF3655">
            <w:r>
              <w:t>Source Code List 1 UNENROLL</w:t>
            </w:r>
          </w:p>
        </w:tc>
        <w:tc>
          <w:tcPr>
            <w:tcW w:w="3888" w:type="dxa"/>
          </w:tcPr>
          <w:p w14:paraId="63A5CC8C" w14:textId="0AD4860C" w:rsidR="00FF3655" w:rsidRDefault="00FF3655" w:rsidP="00FF3655">
            <w:r>
              <w:t>The value the field “</w:t>
            </w:r>
            <w:r w:rsidRPr="008232AC">
              <w:t>ODT Source Code List 1</w:t>
            </w:r>
            <w:r>
              <w:t>” field will be set to if the “Update Auth and Fee” parameter (above) is set to TRUE and the user is unenrolling from ODT</w:t>
            </w:r>
          </w:p>
        </w:tc>
        <w:tc>
          <w:tcPr>
            <w:tcW w:w="1205" w:type="dxa"/>
            <w:vAlign w:val="center"/>
          </w:tcPr>
          <w:p w14:paraId="6AA50DFE" w14:textId="6627C7F2" w:rsidR="00FF3655" w:rsidRDefault="00FF3655" w:rsidP="00FF3655">
            <w:pPr>
              <w:jc w:val="center"/>
            </w:pPr>
            <w:r>
              <w:t>GOBA</w:t>
            </w:r>
          </w:p>
        </w:tc>
        <w:tc>
          <w:tcPr>
            <w:tcW w:w="1866" w:type="dxa"/>
            <w:vAlign w:val="center"/>
          </w:tcPr>
          <w:p w14:paraId="5916C222" w14:textId="77777777" w:rsidR="00FF3655" w:rsidRDefault="00FF3655" w:rsidP="00FF3655">
            <w:pPr>
              <w:jc w:val="center"/>
            </w:pPr>
          </w:p>
        </w:tc>
      </w:tr>
      <w:tr w:rsidR="00FF3655" w14:paraId="0E9FD96E" w14:textId="77777777" w:rsidTr="00FF3655">
        <w:tc>
          <w:tcPr>
            <w:tcW w:w="2306" w:type="dxa"/>
          </w:tcPr>
          <w:p w14:paraId="16EAA95E" w14:textId="159AA488" w:rsidR="00FF3655" w:rsidRDefault="00FF3655" w:rsidP="00FF3655">
            <w:r>
              <w:t>Auth Fee Option 1 ENROLL</w:t>
            </w:r>
          </w:p>
        </w:tc>
        <w:tc>
          <w:tcPr>
            <w:tcW w:w="3888" w:type="dxa"/>
          </w:tcPr>
          <w:p w14:paraId="43703C30" w14:textId="49A0B4FE" w:rsidR="00FF3655" w:rsidRDefault="00FF3655" w:rsidP="00FF3655">
            <w:r>
              <w:t>The value the field “</w:t>
            </w:r>
            <w:r w:rsidRPr="00FF3655">
              <w:t>ODT Auth/Fee Option 1</w:t>
            </w:r>
            <w:r>
              <w:t>” field will be set to if the “Update Auth and Fee” parameter (above) is set to TRUE and the user is enrolling in ODT</w:t>
            </w:r>
          </w:p>
        </w:tc>
        <w:tc>
          <w:tcPr>
            <w:tcW w:w="1205" w:type="dxa"/>
            <w:vAlign w:val="center"/>
          </w:tcPr>
          <w:p w14:paraId="43C1CA64" w14:textId="354C6065" w:rsidR="00FF3655" w:rsidRDefault="00FF3655" w:rsidP="00FF3655">
            <w:pPr>
              <w:jc w:val="center"/>
            </w:pPr>
            <w:r>
              <w:t>0</w:t>
            </w:r>
          </w:p>
        </w:tc>
        <w:tc>
          <w:tcPr>
            <w:tcW w:w="1866" w:type="dxa"/>
            <w:vAlign w:val="center"/>
          </w:tcPr>
          <w:p w14:paraId="7C7E26B5" w14:textId="77777777" w:rsidR="00FF3655" w:rsidRDefault="00FF3655" w:rsidP="00FF3655">
            <w:pPr>
              <w:jc w:val="center"/>
            </w:pPr>
          </w:p>
        </w:tc>
      </w:tr>
      <w:tr w:rsidR="00FF3655" w14:paraId="56BF17C7" w14:textId="77777777" w:rsidTr="00FF3655">
        <w:tc>
          <w:tcPr>
            <w:tcW w:w="2306" w:type="dxa"/>
          </w:tcPr>
          <w:p w14:paraId="79C4F5F4" w14:textId="624D642B" w:rsidR="00FF3655" w:rsidRDefault="00FF3655" w:rsidP="00FF3655">
            <w:r>
              <w:t>Auth Fee Option 1 UNENROLL</w:t>
            </w:r>
          </w:p>
        </w:tc>
        <w:tc>
          <w:tcPr>
            <w:tcW w:w="3888" w:type="dxa"/>
          </w:tcPr>
          <w:p w14:paraId="141C8376" w14:textId="3173BA9E" w:rsidR="00FF3655" w:rsidRDefault="00FF3655" w:rsidP="00FF3655">
            <w:r>
              <w:t>The value the field “</w:t>
            </w:r>
            <w:r w:rsidRPr="00FF3655">
              <w:t>ODT Auth/Fee Option 1</w:t>
            </w:r>
            <w:r>
              <w:t>” field will be set to if the “Update Auth and Fee” parameter (above) is set to TRUE and the user is unenrolling from ODT</w:t>
            </w:r>
          </w:p>
        </w:tc>
        <w:tc>
          <w:tcPr>
            <w:tcW w:w="1205" w:type="dxa"/>
            <w:vAlign w:val="center"/>
          </w:tcPr>
          <w:p w14:paraId="24EBF60C" w14:textId="7FCE62B5" w:rsidR="00FF3655" w:rsidRDefault="00FF3655" w:rsidP="00FF3655">
            <w:pPr>
              <w:jc w:val="center"/>
            </w:pPr>
            <w:r>
              <w:t>7</w:t>
            </w:r>
          </w:p>
        </w:tc>
        <w:tc>
          <w:tcPr>
            <w:tcW w:w="1866" w:type="dxa"/>
          </w:tcPr>
          <w:p w14:paraId="0B4AFC56" w14:textId="2BADB4CA" w:rsidR="00FF3655" w:rsidRDefault="00FF3655" w:rsidP="00FF3655">
            <w:pPr>
              <w:jc w:val="center"/>
            </w:pPr>
          </w:p>
        </w:tc>
      </w:tr>
      <w:tr w:rsidR="00FF3655" w14:paraId="668BF1AD" w14:textId="77777777" w:rsidTr="00FF3655">
        <w:tc>
          <w:tcPr>
            <w:tcW w:w="2306" w:type="dxa"/>
          </w:tcPr>
          <w:p w14:paraId="5E96BF5F" w14:textId="678721B7" w:rsidR="00FF3655" w:rsidRDefault="00FF3655" w:rsidP="00FF3655">
            <w:r>
              <w:t>Link Title</w:t>
            </w:r>
          </w:p>
        </w:tc>
        <w:tc>
          <w:tcPr>
            <w:tcW w:w="3888" w:type="dxa"/>
          </w:tcPr>
          <w:p w14:paraId="583881F7" w14:textId="46254544" w:rsidR="00FF3655" w:rsidRDefault="00FF3655" w:rsidP="00FF3655">
            <w:r>
              <w:t>Enter the text for the link the members will see to begin the process.</w:t>
            </w:r>
          </w:p>
        </w:tc>
        <w:tc>
          <w:tcPr>
            <w:tcW w:w="1205" w:type="dxa"/>
            <w:vAlign w:val="center"/>
          </w:tcPr>
          <w:p w14:paraId="0ADED480" w14:textId="3690D2C1" w:rsidR="00FF3655" w:rsidRDefault="00FF3655" w:rsidP="00FF3655">
            <w:pPr>
              <w:jc w:val="center"/>
            </w:pPr>
            <w:r>
              <w:t>ODT Options</w:t>
            </w:r>
          </w:p>
        </w:tc>
        <w:tc>
          <w:tcPr>
            <w:tcW w:w="1866" w:type="dxa"/>
            <w:vAlign w:val="center"/>
          </w:tcPr>
          <w:p w14:paraId="218AD7F7" w14:textId="77777777" w:rsidR="00FF3655" w:rsidRDefault="00FF3655" w:rsidP="00FF3655">
            <w:pPr>
              <w:jc w:val="center"/>
            </w:pPr>
          </w:p>
        </w:tc>
      </w:tr>
      <w:tr w:rsidR="00FF3655" w14:paraId="421B6E62" w14:textId="77777777" w:rsidTr="00FF3655">
        <w:tc>
          <w:tcPr>
            <w:tcW w:w="2306" w:type="dxa"/>
          </w:tcPr>
          <w:p w14:paraId="65E971F0" w14:textId="731EB369" w:rsidR="00FF3655" w:rsidRDefault="00FF3655" w:rsidP="00FF3655">
            <w:r>
              <w:t>Link Description</w:t>
            </w:r>
          </w:p>
        </w:tc>
        <w:tc>
          <w:tcPr>
            <w:tcW w:w="3888" w:type="dxa"/>
          </w:tcPr>
          <w:p w14:paraId="47C50331" w14:textId="7BD5C178" w:rsidR="00FF3655" w:rsidRDefault="00FF3655" w:rsidP="00FF3655">
            <w:r>
              <w:t>Short Description of the link, shown when the mouse hovers over the link</w:t>
            </w:r>
          </w:p>
        </w:tc>
        <w:tc>
          <w:tcPr>
            <w:tcW w:w="1205" w:type="dxa"/>
            <w:vAlign w:val="center"/>
          </w:tcPr>
          <w:p w14:paraId="6C184411" w14:textId="11B3CAF6" w:rsidR="00FF3655" w:rsidRDefault="00FF3655" w:rsidP="00FF3655">
            <w:pPr>
              <w:jc w:val="center"/>
            </w:pPr>
            <w:r>
              <w:t>ODT Options</w:t>
            </w:r>
          </w:p>
        </w:tc>
        <w:tc>
          <w:tcPr>
            <w:tcW w:w="1866" w:type="dxa"/>
            <w:vAlign w:val="center"/>
          </w:tcPr>
          <w:p w14:paraId="79F83523" w14:textId="77777777" w:rsidR="00FF3655" w:rsidRDefault="00FF3655" w:rsidP="00FF3655">
            <w:pPr>
              <w:jc w:val="center"/>
            </w:pPr>
          </w:p>
        </w:tc>
      </w:tr>
      <w:tr w:rsidR="00FF3655" w14:paraId="131F4789" w14:textId="77777777" w:rsidTr="00FF3655">
        <w:tc>
          <w:tcPr>
            <w:tcW w:w="2306" w:type="dxa"/>
          </w:tcPr>
          <w:p w14:paraId="708FCBEA" w14:textId="19700B4E" w:rsidR="00FF3655" w:rsidRDefault="00FF3655" w:rsidP="00FF3655">
            <w:r>
              <w:lastRenderedPageBreak/>
              <w:t>Is CU live on Banno Online OR Banno Mobile?</w:t>
            </w:r>
          </w:p>
        </w:tc>
        <w:tc>
          <w:tcPr>
            <w:tcW w:w="3888" w:type="dxa"/>
          </w:tcPr>
          <w:p w14:paraId="578ED2D5" w14:textId="7762C300" w:rsidR="00FF3655" w:rsidRDefault="00FF3655" w:rsidP="00FF3655">
            <w:r>
              <w:t>Is the CU currently LIVE to members with either Banno or Banno Mobile?  Y/N</w:t>
            </w:r>
          </w:p>
        </w:tc>
        <w:tc>
          <w:tcPr>
            <w:tcW w:w="3071" w:type="dxa"/>
            <w:gridSpan w:val="2"/>
            <w:vAlign w:val="center"/>
          </w:tcPr>
          <w:p w14:paraId="7E9E1F2F" w14:textId="77777777" w:rsidR="00FF3655" w:rsidRDefault="00FF3655" w:rsidP="00FF3655">
            <w:pPr>
              <w:jc w:val="center"/>
            </w:pPr>
          </w:p>
        </w:tc>
      </w:tr>
      <w:tr w:rsidR="00FF3655" w14:paraId="42EB87CA" w14:textId="77777777" w:rsidTr="00FF3655">
        <w:tc>
          <w:tcPr>
            <w:tcW w:w="2306" w:type="dxa"/>
          </w:tcPr>
          <w:p w14:paraId="03FA22F3" w14:textId="77777777" w:rsidR="00FF3655" w:rsidRDefault="00FF3655" w:rsidP="00FF3655"/>
        </w:tc>
        <w:tc>
          <w:tcPr>
            <w:tcW w:w="3888" w:type="dxa"/>
          </w:tcPr>
          <w:p w14:paraId="2E1B70DC" w14:textId="33623D7A" w:rsidR="00FF3655" w:rsidRDefault="00FF3655" w:rsidP="00FF3655">
            <w:r w:rsidRPr="00CC383E">
              <w:rPr>
                <w:b/>
                <w:bCs/>
              </w:rPr>
              <w:t>IF YES</w:t>
            </w:r>
            <w:r>
              <w:t xml:space="preserve">, List Banno </w:t>
            </w:r>
            <w:proofErr w:type="gramStart"/>
            <w:r>
              <w:t>User Names</w:t>
            </w:r>
            <w:proofErr w:type="gramEnd"/>
            <w:r>
              <w:t xml:space="preserve"> of users that will test</w:t>
            </w:r>
            <w:r w:rsidR="0044495D">
              <w:t xml:space="preserve"> </w:t>
            </w:r>
            <w:r w:rsidR="0044495D" w:rsidRPr="0044495D">
              <w:t>BANNO.ODTOPTIN.V1.POW</w:t>
            </w:r>
            <w:r>
              <w:t xml:space="preserve"> before going live</w:t>
            </w:r>
          </w:p>
        </w:tc>
        <w:tc>
          <w:tcPr>
            <w:tcW w:w="3071" w:type="dxa"/>
            <w:gridSpan w:val="2"/>
            <w:vAlign w:val="center"/>
          </w:tcPr>
          <w:p w14:paraId="4D800278" w14:textId="77777777" w:rsidR="00FF3655" w:rsidRDefault="00FF3655" w:rsidP="00FF3655">
            <w:pPr>
              <w:jc w:val="center"/>
            </w:pPr>
          </w:p>
        </w:tc>
      </w:tr>
      <w:tr w:rsidR="00FF3655" w14:paraId="1136BEF2" w14:textId="77777777" w:rsidTr="00FF3655">
        <w:tc>
          <w:tcPr>
            <w:tcW w:w="2306" w:type="dxa"/>
          </w:tcPr>
          <w:p w14:paraId="61F85EF2" w14:textId="09ABE95D" w:rsidR="00FF3655" w:rsidRDefault="00FF3655" w:rsidP="00FF3655">
            <w:r>
              <w:t>Terms &amp; Conditions</w:t>
            </w:r>
          </w:p>
        </w:tc>
        <w:tc>
          <w:tcPr>
            <w:tcW w:w="6959" w:type="dxa"/>
            <w:gridSpan w:val="3"/>
            <w:vAlign w:val="center"/>
          </w:tcPr>
          <w:p w14:paraId="0662A3E8" w14:textId="0FCE67F2" w:rsidR="00FF3655" w:rsidRDefault="00FF3655" w:rsidP="00FF3655">
            <w:pPr>
              <w:jc w:val="center"/>
            </w:pPr>
            <w:r>
              <w:t xml:space="preserve">Enter Terms and Conditions for using </w:t>
            </w:r>
            <w:r w:rsidR="0044495D" w:rsidRPr="0044495D">
              <w:t>BANNO.ODTOPTIN.V1.POW</w:t>
            </w:r>
            <w:r>
              <w:t>:</w:t>
            </w:r>
          </w:p>
        </w:tc>
      </w:tr>
      <w:tr w:rsidR="00FF3655" w14:paraId="722E8B59" w14:textId="77777777" w:rsidTr="00FF3655">
        <w:trPr>
          <w:trHeight w:val="4778"/>
        </w:trPr>
        <w:tc>
          <w:tcPr>
            <w:tcW w:w="9265" w:type="dxa"/>
            <w:gridSpan w:val="4"/>
            <w:vAlign w:val="center"/>
          </w:tcPr>
          <w:p w14:paraId="4C519E31" w14:textId="77777777" w:rsidR="00FF3655" w:rsidRDefault="00FF3655" w:rsidP="00FF3655">
            <w:pPr>
              <w:jc w:val="center"/>
            </w:pPr>
          </w:p>
        </w:tc>
      </w:tr>
    </w:tbl>
    <w:p w14:paraId="40E64020" w14:textId="77777777" w:rsidR="00BF6F3B" w:rsidRDefault="00BF6F3B"/>
    <w:sectPr w:rsidR="00BF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2"/>
    <w:rsid w:val="00036DA1"/>
    <w:rsid w:val="00263C61"/>
    <w:rsid w:val="00423863"/>
    <w:rsid w:val="0044495D"/>
    <w:rsid w:val="00492982"/>
    <w:rsid w:val="006B748B"/>
    <w:rsid w:val="007663D0"/>
    <w:rsid w:val="007D31E6"/>
    <w:rsid w:val="00800CD1"/>
    <w:rsid w:val="008232AC"/>
    <w:rsid w:val="008A1253"/>
    <w:rsid w:val="00B20F02"/>
    <w:rsid w:val="00B243FC"/>
    <w:rsid w:val="00B919BA"/>
    <w:rsid w:val="00BF6F3B"/>
    <w:rsid w:val="00E27232"/>
    <w:rsid w:val="00F031DC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2084"/>
  <w15:chartTrackingRefBased/>
  <w15:docId w15:val="{04D51948-5CCA-42A5-9A7B-235DFEF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82"/>
    <w:pPr>
      <w:ind w:left="720"/>
      <w:contextualSpacing/>
    </w:pPr>
  </w:style>
  <w:style w:type="table" w:styleId="TableGrid">
    <w:name w:val="Table Grid"/>
    <w:basedOn w:val="TableNormal"/>
    <w:uiPriority w:val="39"/>
    <w:rsid w:val="0049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BD55E8-81A3-42A4-89DC-516014481E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E4F2E-17AC-4D38-BD6F-B007E7F4DC47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customXml/itemProps3.xml><?xml version="1.0" encoding="utf-8"?>
<ds:datastoreItem xmlns:ds="http://schemas.openxmlformats.org/officeDocument/2006/customXml" ds:itemID="{60F575DA-BFDC-4DC5-8905-1F9E9B794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Carson</dc:creator>
  <cp:keywords/>
  <dc:description/>
  <cp:lastModifiedBy>Jordan Keenan</cp:lastModifiedBy>
  <cp:revision>2</cp:revision>
  <dcterms:created xsi:type="dcterms:W3CDTF">2022-06-20T23:22:00Z</dcterms:created>
  <dcterms:modified xsi:type="dcterms:W3CDTF">2022-06-20T23:22:00Z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  <property fmtid="{D5CDD505-2E9C-101B-9397-08002B2CF9AE}" pid="3" name="MediaServiceImageTags">
    <vt:lpwstr/>
  </property>
</Properties>
</file>