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 Report — PII Redaction Tool</w:t>
      </w:r>
    </w:p>
    <w:p>
      <w:r>
        <w:rPr>
          <w:b/>
        </w:rPr>
        <w:t>Document under test:</w:t>
      </w:r>
      <w:r>
        <w:t xml:space="preserve"> KSH International Limited, Red Herring Prospectus dated</w:t>
      </w:r>
    </w:p>
    <w:p>
      <w:r>
        <w:t>10 December 2025 (122 pages; 3,766 text segments; 48,324 runs; 325,239 characters).</w:t>
      </w:r>
    </w:p>
    <w:p>
      <w:r>
        <w:rPr>
          <w:b/>
        </w:rPr>
        <w:t>Tool version:</w:t>
      </w:r>
      <w:r>
        <w:t xml:space="preserve"> </w:t>
      </w:r>
      <w:r>
        <w:rPr>
          <w:rFonts w:ascii="Consolas" w:hAnsi="Consolas"/>
          <w:color w:val="0D6B6B"/>
          <w:sz w:val="18"/>
        </w:rPr>
        <w:t>piiredact</w:t>
      </w:r>
      <w:r>
        <w:t xml:space="preserve"> 1.0.0. </w:t>
      </w:r>
      <w:r>
        <w:rPr>
          <w:b/>
        </w:rPr>
        <w:t>Run seed:</w:t>
      </w:r>
      <w:r>
        <w:t xml:space="preserve"> </w:t>
      </w:r>
      <w:r>
        <w:rPr>
          <w:rFonts w:ascii="Consolas" w:hAnsi="Consolas"/>
          <w:color w:val="0D6B6B"/>
          <w:sz w:val="18"/>
        </w:rPr>
        <w:t>scaler-ai-labs-2026</w:t>
      </w:r>
      <w:r>
        <w:t>.</w:t>
      </w:r>
    </w:p>
    <w:p>
      <w:r>
        <w:rPr>
          <w:b/>
        </w:rPr>
        <w:t>Reproduce with:</w:t>
      </w:r>
      <w:r>
        <w:t xml:space="preserve"> </w:t>
      </w:r>
      <w:r>
        <w:rPr>
          <w:rFonts w:ascii="Consolas" w:hAnsi="Consolas"/>
          <w:color w:val="0D6B6B"/>
          <w:sz w:val="18"/>
        </w:rPr>
        <w:t>python eval/evaluate.py</w:t>
      </w:r>
      <w:r>
        <w:t xml:space="preserve"> → </w:t>
      </w:r>
      <w:r>
        <w:rPr>
          <w:rFonts w:ascii="Consolas" w:hAnsi="Consolas"/>
          <w:color w:val="0D6B6B"/>
          <w:sz w:val="18"/>
        </w:rPr>
        <w:t>eval/results/metrics.json</w:t>
      </w:r>
      <w:r>
        <w:t>.</w:t>
      </w:r>
    </w:p>
    <w:p>
      <w:pPr>
        <w:spacing w:before="40" w:after="40"/>
      </w:pPr>
      <w:r>
        <w:rPr>
          <w:color w:val="C8D2D6"/>
          <w:sz w:val="14"/>
        </w:rPr>
        <w:t>______________________________________________________________________________</w:t>
      </w:r>
    </w:p>
    <w:p>
      <w:pPr>
        <w:pStyle w:val="Heading2"/>
      </w:pPr>
      <w:r>
        <w:t>1. Evaluation approach</w:t>
      </w:r>
    </w:p>
    <w:p>
      <w:pPr>
        <w:pStyle w:val="Heading3"/>
      </w:pPr>
      <w:r>
        <w:t>1.1 Why a hand-annotated gold standard was necessary</w:t>
      </w:r>
    </w:p>
    <w:p>
      <w:r>
        <w:t>Precision and recall need ground truth, and this document ships with none. Two</w:t>
      </w:r>
    </w:p>
    <w:p>
      <w:r>
        <w:t>things were therefore built:</w:t>
      </w:r>
    </w:p>
    <w:p>
      <w:r>
        <w:rPr>
          <w:b/>
        </w:rPr>
        <w:t>A. A hand-annotated sample of the real document.</w:t>
      </w:r>
      <w:r>
        <w:t xml:space="preserve"> 301 segments,</w:t>
      </w:r>
    </w:p>
    <w:p>
      <w:r>
        <w:rPr>
          <w:b/>
        </w:rPr>
        <w:t>288 gold spans</w:t>
      </w:r>
      <w:r>
        <w:t>. This measures the tool on the data it was actually built for,</w:t>
      </w:r>
    </w:p>
    <w:p>
      <w:r>
        <w:t>including all the awkwardness — merged cells, tab-separated words, names broken</w:t>
      </w:r>
    </w:p>
    <w:p>
      <w:r>
        <w:t>across lines, 147 non-birth dates, and thousands of digit runs that are not</w:t>
      </w:r>
    </w:p>
    <w:p>
      <w:r>
        <w:t>identifiers.</w:t>
      </w:r>
    </w:p>
    <w:p>
      <w:r>
        <w:rPr>
          <w:b/>
        </w:rPr>
        <w:t>B. A synthetic corpus with programmatic labels.</w:t>
      </w:r>
      <w:r>
        <w:t xml:space="preserve"> 41 cases, **30 labelled spans</w:t>
      </w:r>
    </w:p>
    <w:p>
      <w:r>
        <w:t>and 22 pure negatives**. SSN, credit card, date of birth and IP address are all in</w:t>
      </w:r>
    </w:p>
    <w:p>
      <w:r>
        <w:t>the assignment's minimum set and **none of them occurs in an Indian IPO</w:t>
      </w:r>
    </w:p>
    <w:p>
      <w:r>
        <w:t>prospectus**. Measuring those four types on the prospectus would report 0/0 and</w:t>
      </w:r>
    </w:p>
    <w:p>
      <w:r>
        <w:t>say nothing about whether the detectors work, so they are measured here instead,</w:t>
      </w:r>
    </w:p>
    <w:p>
      <w:r>
        <w:t>against adversarial negatives drawn from the shapes that actually cause false</w:t>
      </w:r>
    </w:p>
    <w:p>
      <w:r>
        <w:t>positives in financial prose (nine-digit amounts, sixteen-digit reference numbers,</w:t>
      </w:r>
    </w:p>
    <w:p>
      <w:r>
        <w:t xml:space="preserve">dotted clause numbers, </w:t>
      </w:r>
      <w:r>
        <w:rPr>
          <w:rFonts w:ascii="Consolas" w:hAnsi="Consolas"/>
          <w:color w:val="0D6B6B"/>
          <w:sz w:val="18"/>
        </w:rPr>
        <w:t>Ind AS 115.2.1.3</w:t>
      </w:r>
      <w:r>
        <w:t>, and the document's own date formats).</w:t>
      </w:r>
    </w:p>
    <w:p>
      <w:pPr>
        <w:pStyle w:val="Heading3"/>
      </w:pPr>
      <w:r>
        <w:t>1.2 Sampling: stratified, not uniform</w:t>
      </w:r>
    </w:p>
    <w:p>
      <w:r>
        <w:t>A uniform sample of a 122-page prospectus is almost all financial tables. It would</w:t>
      </w:r>
    </w:p>
    <w:p>
      <w:r>
        <w:t>measure precision on negatives and say nothing about recall. So the sample is</w:t>
      </w:r>
    </w:p>
    <w:p>
      <w:r>
        <w:t>stratified, with a fixed seed (</w:t>
      </w:r>
      <w:r>
        <w:rPr>
          <w:rFonts w:ascii="Consolas" w:hAnsi="Consolas"/>
          <w:color w:val="0D6B6B"/>
          <w:sz w:val="18"/>
        </w:rPr>
        <w:t>20260925</w:t>
      </w:r>
      <w:r>
        <w:t xml:space="preserve">) and rules in </w:t>
      </w:r>
      <w:r>
        <w:rPr>
          <w:rFonts w:ascii="Consolas" w:hAnsi="Consolas"/>
          <w:color w:val="0D6B6B"/>
          <w:sz w:val="18"/>
        </w:rPr>
        <w:t>eval/sample.py</w:t>
      </w:r>
      <w: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Stratum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Sampled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6B6B"/>
                <w:sz w:val="18"/>
              </w:rPr>
              <w:t>structural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PII-dense structures, taken </w:t>
            </w:r>
            <w:r>
              <w:rPr>
                <w:b/>
                <w:sz w:val="18"/>
              </w:rPr>
              <w:t>in full</w:t>
            </w:r>
            <w:r>
              <w:rPr>
                <w:sz w:val="18"/>
              </w:rPr>
              <w:t xml:space="preserve"> — cover-page table, SEBI disclaimer table, board-of-directors table, underwriters table, and the "General Information" contact blocks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126 of 126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6B6B"/>
                <w:sz w:val="18"/>
              </w:rPr>
              <w:t>contact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every other segment containing an email, a telephone label, a </w:t>
            </w:r>
            <w:r>
              <w:rPr>
                <w:rFonts w:ascii="Consolas" w:hAnsi="Consolas"/>
                <w:color w:val="0D6B6B"/>
                <w:sz w:val="18"/>
              </w:rPr>
              <w:t>Contact Person</w:t>
            </w:r>
            <w:r>
              <w:rPr>
                <w:sz w:val="18"/>
              </w:rPr>
              <w:t xml:space="preserve">/office label or a PIN-code shape — taken </w:t>
            </w:r>
            <w:r>
              <w:rPr>
                <w:b/>
                <w:sz w:val="18"/>
              </w:rPr>
              <w:t>in full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87 of 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6B6B"/>
                <w:sz w:val="18"/>
              </w:rPr>
              <w:t>prose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random draw from body paragraphs ≥120 characters (risk factors, business)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40 of 346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6B6B"/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random draw from financial-table cells, which should contain no PII at all — these carry the precision signal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48 of 1,589</w:t>
            </w:r>
          </w:p>
        </w:tc>
      </w:tr>
    </w:tbl>
    <w:p/>
    <w:p>
      <w:r>
        <w:t>Three segments that the original draw happened to catch, and that turned out to</w:t>
      </w:r>
    </w:p>
    <w:p>
      <w:r>
        <w:t>carry PII in shareholder-name columns the stratification rules do not otherwise</w:t>
      </w:r>
    </w:p>
    <w:p>
      <w:r>
        <w:t>reach, are pinned so the sample stays stable across re-sampling.</w:t>
      </w:r>
    </w:p>
    <w:p>
      <w:pPr>
        <w:pStyle w:val="Heading3"/>
      </w:pPr>
      <w:r>
        <w:t>1.3 Annotation protocol</w:t>
      </w:r>
    </w:p>
    <w:p>
      <w:r>
        <w:t>The annotation guideline (</w:t>
      </w:r>
      <w:r>
        <w:rPr>
          <w:rFonts w:ascii="Consolas" w:hAnsi="Consolas"/>
          <w:color w:val="0D6B6B"/>
          <w:sz w:val="18"/>
        </w:rPr>
        <w:t>eval/annotation_guideline.md</w:t>
      </w:r>
      <w:r>
        <w:t>) was **written and frozen</w:t>
      </w:r>
    </w:p>
    <w:p>
      <w:r>
        <w:t>before annotation began**, so the gold standard records a policy rather than a</w:t>
      </w:r>
    </w:p>
    <w:p>
      <w:r>
        <w:t>description of what the tool happens to do. It fixes span boundaries (longest span</w:t>
      </w:r>
    </w:p>
    <w:p>
      <w:r>
        <w:t>that is one value; no honorifics, labels, footnote markers or quotes), the</w:t>
      </w:r>
    </w:p>
    <w:p>
      <w:r>
        <w:t>public-body / contractual-role exclusions, and every ambiguity that came up —</w:t>
      </w:r>
    </w:p>
    <w:p>
      <w:r>
        <w:t>newspaper titles, ages, incorporation dates, a company name used as a landmark</w:t>
      </w:r>
    </w:p>
    <w:p>
      <w:r>
        <w:t xml:space="preserve">inside an address, </w:t>
      </w:r>
      <w:r>
        <w:rPr>
          <w:rFonts w:ascii="Consolas" w:hAnsi="Consolas"/>
          <w:color w:val="0D6B6B"/>
          <w:sz w:val="18"/>
        </w:rPr>
        <w:t>&lt;Name&gt; HUF</w:t>
      </w:r>
      <w:r>
        <w:t>.</w:t>
      </w:r>
    </w:p>
    <w:p>
      <w:r>
        <w:t xml:space="preserve">Annotations are stored as </w:t>
      </w:r>
      <w:r>
        <w:rPr>
          <w:rFonts w:ascii="Consolas" w:hAnsi="Consolas"/>
          <w:color w:val="0D6B6B"/>
          <w:sz w:val="18"/>
        </w:rPr>
        <w:t>(type, exact_substring, occurrence)</w:t>
      </w:r>
      <w:r>
        <w:t xml:space="preserve"> rather than</w:t>
      </w:r>
    </w:p>
    <w:p>
      <w:r>
        <w:t>character offsets and are resolved against the live sample at build time</w:t>
      </w:r>
    </w:p>
    <w:p>
      <w:r>
        <w:t>(</w:t>
      </w:r>
      <w:r>
        <w:rPr>
          <w:rFonts w:ascii="Consolas" w:hAnsi="Consolas"/>
          <w:color w:val="0D6B6B"/>
          <w:sz w:val="18"/>
        </w:rPr>
        <w:t>eval/gold_standard.py</w:t>
      </w:r>
      <w:r>
        <w:t xml:space="preserve">). The builder </w:t>
      </w:r>
      <w:r>
        <w:rPr>
          <w:b/>
        </w:rPr>
        <w:t>aborts</w:t>
      </w:r>
      <w:r>
        <w:t xml:space="preserve"> if a substring is absent, if the</w:t>
      </w:r>
    </w:p>
    <w:p>
      <w:r>
        <w:t>requested occurrence does not exist, if two gold spans overlap, or if an</w:t>
      </w:r>
    </w:p>
    <w:p>
      <w:r>
        <w:t>annotation refers to a segment no longer in the sample. A transcription error</w:t>
      </w:r>
    </w:p>
    <w:p>
      <w:r>
        <w:t>therefore becomes a hard failure instead of a silent false negative.</w:t>
      </w:r>
    </w:p>
    <w:p>
      <w:r>
        <w:t xml:space="preserve">Segments absent from the gold table are asserted to contain </w:t>
      </w:r>
      <w:r>
        <w:rPr>
          <w:b/>
        </w:rPr>
        <w:t>no</w:t>
      </w:r>
      <w:r>
        <w:t xml:space="preserve"> PII. Their</w:t>
      </w:r>
    </w:p>
    <w:p>
      <w:r>
        <w:t>emptiness is an annotation too, and it is what the precision figures are measured</w:t>
      </w:r>
    </w:p>
    <w:p>
      <w:r>
        <w:t>against.</w:t>
      </w:r>
    </w:p>
    <w:p>
      <w:pPr>
        <w:pStyle w:val="Heading3"/>
      </w:pPr>
      <w:r>
        <w:t>1.4 Two matching criteria, reported side by side</w:t>
      </w:r>
    </w:p>
    <w:p>
      <w:pPr>
        <w:pStyle w:val="ListBullet"/>
      </w:pPr>
      <w:r>
        <w:rPr>
          <w:b/>
        </w:rPr>
        <w:t>Strict</w:t>
      </w:r>
      <w:r>
        <w:t xml:space="preserve"> — same type </w:t>
      </w:r>
      <w:r>
        <w:rPr>
          <w:i/>
        </w:rPr>
        <w:t>and</w:t>
      </w:r>
      <w:r>
        <w:t xml:space="preserve"> exactly the same character boundaries. This is the</w:t>
      </w:r>
    </w:p>
    <w:p>
      <w:r>
        <w:t xml:space="preserve">right measure for a value that will be </w:t>
      </w:r>
      <w:r>
        <w:rPr>
          <w:b/>
        </w:rPr>
        <w:t>replaced</w:t>
      </w:r>
      <w:r>
        <w:t>: a wrong boundary means</w:t>
      </w:r>
    </w:p>
    <w:p>
      <w:r>
        <w:t>writing a surrogate over the wrong characters.</w:t>
      </w:r>
    </w:p>
    <w:p>
      <w:pPr>
        <w:pStyle w:val="ListBullet"/>
      </w:pPr>
      <w:r>
        <w:rPr>
          <w:b/>
        </w:rPr>
        <w:t>Relaxed</w:t>
      </w:r>
      <w:r>
        <w:t xml:space="preserve"> — same type and any character overlap (the MUC-style partial credit</w:t>
      </w:r>
    </w:p>
    <w:p>
      <w:r>
        <w:t xml:space="preserve">used in most NER evaluations). This is the right measure for </w:t>
      </w:r>
      <w:r>
        <w:rPr>
          <w:b/>
        </w:rPr>
        <w:t>privacy</w:t>
      </w:r>
      <w:r>
        <w:t>: an</w:t>
      </w:r>
    </w:p>
    <w:p>
      <w:r>
        <w:t>address whose span is two words short still had its identifying content replaced.</w:t>
      </w:r>
    </w:p>
    <w:p>
      <w:r>
        <w:t>Matching is greedy one-to-one, ordered by overlap size, so one prediction can never</w:t>
      </w:r>
    </w:p>
    <w:p>
      <w:r>
        <w:t>satisfy two gold spans. Reporting only strict understates a redactor's protective</w:t>
      </w:r>
    </w:p>
    <w:p>
      <w:r>
        <w:t>value; reporting only relaxed hides real boundary bugs. Both are below.</w:t>
      </w:r>
    </w:p>
    <w:p>
      <w:pPr>
        <w:pStyle w:val="Heading3"/>
      </w:pPr>
      <w:r>
        <w:t>1.5 How "accuracy" is defined</w:t>
      </w:r>
    </w:p>
    <w:p>
      <w:r>
        <w:t>A span-extraction task has no natural accuracy, so two well-defined variants are</w:t>
      </w:r>
    </w:p>
    <w:p>
      <w:r>
        <w:t>reported, and neither replaces precision/recall:</w:t>
      </w:r>
    </w:p>
    <w:p>
      <w:pPr>
        <w:pStyle w:val="ListBullet"/>
      </w:pPr>
      <w:r>
        <w:rPr>
          <w:b/>
        </w:rPr>
        <w:t>Character-level accuracy</w:t>
      </w:r>
      <w:r>
        <w:t xml:space="preserve"> — every character of every sampled segment is one</w:t>
      </w:r>
    </w:p>
    <w:p>
      <w:r>
        <w:t>instance, labelled PII or not-PII. Well defined, and dominated by the ~85% of</w:t>
      </w:r>
    </w:p>
    <w:p>
      <w:r>
        <w:t>characters that are not PII, which is why a high number here is unremarkable and</w:t>
      </w:r>
    </w:p>
    <w:p>
      <w:r>
        <w:t>is reported alongside character precision and recall.</w:t>
      </w:r>
    </w:p>
    <w:p>
      <w:pPr>
        <w:pStyle w:val="ListBullet"/>
      </w:pPr>
      <w:r>
        <w:rPr>
          <w:b/>
        </w:rPr>
        <w:t>Segment-level accuracy</w:t>
      </w:r>
      <w:r>
        <w:t xml:space="preserve"> — did a segment that contains PII get flagged at all?</w:t>
      </w:r>
    </w:p>
    <w:p>
      <w:r>
        <w:t>This is the operationally useful "did we notice this cell" number.</w:t>
      </w:r>
    </w:p>
    <w:p>
      <w:pPr>
        <w:pStyle w:val="Heading3"/>
      </w:pPr>
      <w:r>
        <w:t>1.6 The system under evaluation is the shipped system</w:t>
      </w:r>
    </w:p>
    <w:p>
      <w:r>
        <w:t xml:space="preserve">The harness calls </w:t>
      </w:r>
      <w:r>
        <w:rPr>
          <w:rFonts w:ascii="Consolas" w:hAnsi="Consolas"/>
          <w:color w:val="0D6B6B"/>
          <w:sz w:val="18"/>
        </w:rPr>
        <w:t>piiredact.pipeline.detect_spans</w:t>
      </w:r>
      <w:r>
        <w:t xml:space="preserve"> — the same function the</w:t>
      </w:r>
    </w:p>
    <w:p>
      <w:r>
        <w:t>redaction uses, with the same default config. There is no parallel implementation</w:t>
      </w:r>
    </w:p>
    <w:p>
      <w:r>
        <w:t>that could drift.</w:t>
      </w:r>
    </w:p>
    <w:p>
      <w:pPr>
        <w:pStyle w:val="Heading3"/>
      </w:pPr>
      <w:r>
        <w:t>1.7 Threats to validity — stated plainly</w:t>
      </w:r>
    </w:p>
    <w:p>
      <w:pPr>
        <w:pStyle w:val="ListNumber"/>
      </w:pPr>
      <w:r>
        <w:rPr>
          <w:b/>
        </w:rPr>
        <w:t>The annotator is the tool's author.</w:t>
      </w:r>
      <w:r>
        <w:t xml:space="preserve"> This is the real limitation of this</w:t>
      </w:r>
    </w:p>
    <w:p>
      <w:r>
        <w:t>evaluation and it cannot be fully removed by one person. Mitigations: the</w:t>
      </w:r>
    </w:p>
    <w:p>
      <w:r>
        <w:t>guideline was frozen before annotation; annotation was done from raw segment</w:t>
      </w:r>
    </w:p>
    <w:p>
      <w:r>
        <w:t>text; the "no PII here" judgements on 88 prose and negative segments were made</w:t>
      </w:r>
    </w:p>
    <w:p>
      <w:r>
        <w:t>before any per-segment output was read; and the four types that matter most for</w:t>
      </w:r>
    </w:p>
    <w:p>
      <w:r>
        <w:t>over-fitting are additionally measured on the programmatically-labelled</w:t>
      </w:r>
    </w:p>
    <w:p>
      <w:r>
        <w:t>synthetic corpus, where the labels do not come from a human at all. The honest</w:t>
      </w:r>
    </w:p>
    <w:p>
      <w:r>
        <w:t xml:space="preserve">reading is that the </w:t>
      </w:r>
      <w:r>
        <w:rPr>
          <w:b/>
        </w:rPr>
        <w:t>synthetic</w:t>
      </w:r>
      <w:r>
        <w:t xml:space="preserve"> figures are independent and the </w:t>
      </w:r>
      <w:r>
        <w:rPr>
          <w:b/>
        </w:rPr>
        <w:t>document</w:t>
      </w:r>
    </w:p>
    <w:p>
      <w:r>
        <w:t>figures are a careful self-assessment.</w:t>
      </w:r>
    </w:p>
    <w:p>
      <w:pPr>
        <w:pStyle w:val="ListNumber"/>
      </w:pPr>
      <w:r>
        <w:rPr>
          <w:b/>
        </w:rPr>
        <w:t>The sample is 8% of the document's segments</w:t>
      </w:r>
      <w:r>
        <w:t xml:space="preserve"> (301 of 3,766) but is weighted</w:t>
      </w:r>
    </w:p>
    <w:p>
      <w:r>
        <w:t>towards PII-bearing structures by design. It is not an estimate of</w:t>
      </w:r>
    </w:p>
    <w:p>
      <w:r>
        <w:t xml:space="preserve">document-wide error </w:t>
      </w:r>
      <w:r>
        <w:rPr>
          <w:i/>
        </w:rPr>
        <w:t>rates</w:t>
      </w:r>
      <w:r>
        <w:t>; it is a measurement of behaviour on the parts of</w:t>
      </w:r>
    </w:p>
    <w:p>
      <w:r>
        <w:t>the document where PII lives, plus 88 negatives.</w:t>
      </w:r>
    </w:p>
    <w:p>
      <w:pPr>
        <w:pStyle w:val="ListNumber"/>
      </w:pPr>
      <w:r>
        <w:rPr>
          <w:b/>
        </w:rPr>
        <w:t>Pass 2 is handicapped by sampling.</w:t>
      </w:r>
      <w:r>
        <w:t xml:space="preserve"> The gazetteer sweep is document-wide in</w:t>
      </w:r>
    </w:p>
    <w:p>
      <w:r>
        <w:t>production, but the harness gives it only the 301 sampled segments, so aliases</w:t>
      </w:r>
    </w:p>
    <w:p>
      <w:r>
        <w:t>derivable only from unsampled text are unavailable. This causes the single</w:t>
      </w:r>
    </w:p>
    <w:p>
      <w:r>
        <w:t xml:space="preserve">recall miss in §2 and means the sample </w:t>
      </w:r>
      <w:r>
        <w:rPr>
          <w:b/>
        </w:rPr>
        <w:t>understates</w:t>
      </w:r>
      <w:r>
        <w:t xml:space="preserve"> real recall.</w:t>
      </w:r>
    </w:p>
    <w:p>
      <w:pPr>
        <w:pStyle w:val="ListNumber"/>
      </w:pPr>
      <w:r>
        <w:rPr>
          <w:b/>
        </w:rPr>
        <w:t>Three PII types have no positives anywhere.</w:t>
      </w:r>
      <w:r>
        <w:t xml:space="preserve"> Passport, driving licence and</w:t>
      </w:r>
    </w:p>
    <w:p>
      <w:r>
        <w:t>voter ID detectors are exercised only by unit tests.</w:t>
      </w:r>
    </w:p>
    <w:p>
      <w:pPr>
        <w:spacing w:before="40" w:after="40"/>
      </w:pPr>
      <w:r>
        <w:rPr>
          <w:color w:val="C8D2D6"/>
          <w:sz w:val="14"/>
        </w:rPr>
        <w:t>______________________________________________________________________________</w:t>
      </w:r>
    </w:p>
    <w:p>
      <w:pPr>
        <w:pStyle w:val="Heading2"/>
      </w:pPr>
      <w:r>
        <w:t>2. Results — prospectus sample</w:t>
      </w:r>
    </w:p>
    <w:p>
      <w:r>
        <w:t>301 segments · 288 gold spans · 287 predicted spans</w:t>
      </w:r>
    </w:p>
    <w:p>
      <w:pPr>
        <w:pStyle w:val="Heading3"/>
      </w:pPr>
      <w:r>
        <w:t>2.1 Relaxed matching (privacy view)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Gold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TP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FP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FN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Recall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ADDRESS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NATIONAL_ID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ORGANIZATION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0.973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0.986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78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78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PHONE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URL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Micro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0.997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0.998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Macro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0.996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0.998</w:t>
            </w:r>
          </w:p>
        </w:tc>
      </w:tr>
    </w:tbl>
    <w:p/>
    <w:p>
      <w:pPr>
        <w:pStyle w:val="Heading3"/>
      </w:pPr>
      <w:r>
        <w:t>2.2 Strict matching (exact-boundary view)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Gold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TP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FP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FN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Recall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ADDRESS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0.936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0.936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0.936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NATIONAL_ID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ORGANIZATION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0.972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0.946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0.959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78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78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PHONE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URL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Micro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283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0.986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0.983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0.984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Macro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0.987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0.983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0.985</w:t>
            </w:r>
          </w:p>
        </w:tc>
      </w:tr>
    </w:tbl>
    <w:p/>
    <w:p>
      <w:r>
        <w:t xml:space="preserve">The entire strict-vs-relaxed gap is </w:t>
      </w:r>
      <w:r>
        <w:rPr>
          <w:b/>
        </w:rPr>
        <w:t>4 boundary errors</w:t>
      </w:r>
      <w:r>
        <w:t xml:space="preserve"> — 3 addresses and 1</w:t>
      </w:r>
    </w:p>
    <w:p>
      <w:r>
        <w:t>organisation. No span is a wrong-type or spurious detection under either</w:t>
      </w:r>
    </w:p>
    <w:p>
      <w:r>
        <w:t>criterion.</w:t>
      </w:r>
    </w:p>
    <w:p>
      <w:pPr>
        <w:pStyle w:val="Heading3"/>
      </w:pPr>
      <w:r>
        <w:t>2.3 Accuracy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Measure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Detail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Character-level accuracy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0.9983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59,399 characters; 8,711 are PII; TP 8,634 · FP 22 · FN 77 · TN 50,666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Character precision / recall / F1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0.998 / 0.991 / 0.994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Character specificity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0.9996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of 50,688 non-PII characters, 22 were over-redacted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Segment-level accuracy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0.9967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301 segments; TP 134 · FP 0 · FN 1 · TN 166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 precision / recall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/ 0.993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segment flagged did contain PII</w:t>
            </w:r>
          </w:p>
        </w:tc>
      </w:tr>
    </w:tbl>
    <w:p/>
    <w:p>
      <w:r>
        <w:rPr>
          <w:b/>
        </w:rPr>
        <w:t>FP 0 at the segment level is the number to note:</w:t>
      </w:r>
      <w:r>
        <w:t xml:space="preserve"> across 166 segments with no</w:t>
      </w:r>
    </w:p>
    <w:p>
      <w:r>
        <w:t>PII — including 48 financial-table cells stuffed with long digit runs, dates and</w:t>
      </w:r>
    </w:p>
    <w:p>
      <w:r>
        <w:t>capitalised jargon — the tool did not fire once.</w:t>
      </w:r>
    </w:p>
    <w:p>
      <w:pPr>
        <w:pStyle w:val="Heading3"/>
      </w:pPr>
      <w:r>
        <w:t>2.4 By stratum (relaxed)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Stratum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Segments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Gold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TP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FP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FN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Recall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6B6B"/>
                <w:sz w:val="18"/>
              </w:rPr>
              <w:t>structural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126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6B6B"/>
                <w:sz w:val="18"/>
              </w:rPr>
              <w:t>contact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87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164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164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6B6B"/>
                <w:sz w:val="18"/>
              </w:rPr>
              <w:t>prose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6B6B"/>
                <w:sz w:val="18"/>
              </w:rPr>
              <w:t>negative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0.929</w:t>
            </w:r>
          </w:p>
        </w:tc>
      </w:tr>
    </w:tbl>
    <w:p/>
    <w:p>
      <w:pPr>
        <w:spacing w:before="40" w:after="40"/>
      </w:pPr>
      <w:r>
        <w:rPr>
          <w:color w:val="C8D2D6"/>
          <w:sz w:val="14"/>
        </w:rPr>
        <w:t>______________________________________________________________________________</w:t>
      </w:r>
    </w:p>
    <w:p>
      <w:pPr>
        <w:pStyle w:val="Heading2"/>
      </w:pPr>
      <w:r>
        <w:t>3. Results — synthetic corpus (SSN · card · DOB · IP)</w:t>
      </w:r>
    </w:p>
    <w:p>
      <w:r>
        <w:t>41 cases · 30 labelled spans · 22 pure negatives. Labels are generated, not</w:t>
      </w:r>
    </w:p>
    <w:p>
      <w:r>
        <w:t>annotated, so these figures are independent of the author's judgement.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Gold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TP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FP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FN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Recall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SSN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CREDIT_CARD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DOB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IP_ADDRESS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PHONE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Micro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1.000</w:t>
            </w:r>
          </w:p>
        </w:tc>
      </w:tr>
    </w:tbl>
    <w:p/>
    <w:p>
      <w:r>
        <w:t>Strict and relaxed are identical (every boundary exact). Character accuracy 1.000.</w:t>
      </w:r>
    </w:p>
    <w:p>
      <w:r>
        <w:t>All 22 adversarial negatives were correctly left alone, including</w:t>
      </w:r>
    </w:p>
    <w:p>
      <w:r>
        <w:rPr>
          <w:rFonts w:ascii="Consolas" w:hAnsi="Consolas"/>
          <w:color w:val="0D6B6B"/>
          <w:sz w:val="18"/>
        </w:rPr>
        <w:t>000-12-3456</w:t>
      </w:r>
      <w:r>
        <w:t xml:space="preserve">, </w:t>
      </w:r>
      <w:r>
        <w:rPr>
          <w:rFonts w:ascii="Consolas" w:hAnsi="Consolas"/>
          <w:color w:val="0D6B6B"/>
          <w:sz w:val="18"/>
        </w:rPr>
        <w:t>666-22-1111</w:t>
      </w:r>
      <w:r>
        <w:t xml:space="preserve">, </w:t>
      </w:r>
      <w:r>
        <w:rPr>
          <w:rFonts w:ascii="Consolas" w:hAnsi="Consolas"/>
          <w:color w:val="0D6B6B"/>
          <w:sz w:val="18"/>
        </w:rPr>
        <w:t>912-45-6789</w:t>
      </w:r>
      <w:r>
        <w:t xml:space="preserve">, </w:t>
      </w:r>
      <w:r>
        <w:rPr>
          <w:rFonts w:ascii="Consolas" w:hAnsi="Consolas"/>
          <w:color w:val="0D6B6B"/>
          <w:sz w:val="18"/>
        </w:rPr>
        <w:t>214-00-8899</w:t>
      </w:r>
      <w:r>
        <w:t xml:space="preserve">, </w:t>
      </w:r>
      <w:r>
        <w:rPr>
          <w:rFonts w:ascii="Consolas" w:hAnsi="Consolas"/>
          <w:color w:val="0D6B6B"/>
          <w:sz w:val="18"/>
        </w:rPr>
        <w:t>214-55-0000</w:t>
      </w:r>
      <w:r>
        <w:t>,</w:t>
      </w:r>
    </w:p>
    <w:p>
      <w:r>
        <w:rPr>
          <w:rFonts w:ascii="Consolas" w:hAnsi="Consolas"/>
          <w:color w:val="0D6B6B"/>
          <w:sz w:val="18"/>
        </w:rPr>
        <w:t>4111 1111 1111 1112</w:t>
      </w:r>
      <w:r>
        <w:t xml:space="preserve"> (Luhn fails), </w:t>
      </w:r>
      <w:r>
        <w:rPr>
          <w:rFonts w:ascii="Consolas" w:hAnsi="Consolas"/>
          <w:color w:val="0D6B6B"/>
          <w:sz w:val="18"/>
        </w:rPr>
        <w:t>4200000000000000</w:t>
      </w:r>
      <w:r>
        <w:t xml:space="preserve"> (Luhn-valid but a share</w:t>
      </w:r>
    </w:p>
    <w:p>
      <w:r>
        <w:t xml:space="preserve">count), </w:t>
      </w:r>
      <w:r>
        <w:rPr>
          <w:rFonts w:ascii="Consolas" w:hAnsi="Consolas"/>
          <w:color w:val="0D6B6B"/>
          <w:sz w:val="18"/>
        </w:rPr>
        <w:t>Ind AS 115.2.1.3</w:t>
      </w:r>
      <w:r>
        <w:t xml:space="preserve">, </w:t>
      </w:r>
      <w:r>
        <w:rPr>
          <w:rFonts w:ascii="Consolas" w:hAnsi="Consolas"/>
          <w:color w:val="0D6B6B"/>
          <w:sz w:val="18"/>
        </w:rPr>
        <w:t>clause 4.1.2.3</w:t>
      </w:r>
      <w:r>
        <w:t xml:space="preserve">, </w:t>
      </w:r>
      <w:r>
        <w:rPr>
          <w:rFonts w:ascii="Consolas" w:hAnsi="Consolas"/>
          <w:color w:val="0D6B6B"/>
          <w:sz w:val="18"/>
        </w:rPr>
        <w:t>256.100.50.25</w:t>
      </w:r>
      <w:r>
        <w:t>, and five non-birth</w:t>
      </w:r>
    </w:p>
    <w:p>
      <w:r>
        <w:t xml:space="preserve">dates including </w:t>
      </w:r>
      <w:r>
        <w:rPr>
          <w:rFonts w:ascii="Consolas" w:hAnsi="Consolas"/>
          <w:color w:val="0D6B6B"/>
          <w:sz w:val="18"/>
        </w:rPr>
        <w:t>incorporated on July 30, 1979</w:t>
      </w:r>
      <w:r>
        <w:t>.</w:t>
      </w:r>
    </w:p>
    <w:p>
      <w:r>
        <w:t xml:space="preserve">These results are the </w:t>
      </w:r>
      <w:r>
        <w:rPr>
          <w:i/>
        </w:rPr>
        <w:t>second</w:t>
      </w:r>
      <w:r>
        <w:t xml:space="preserve"> iteration. The first found four genuine detector</w:t>
      </w:r>
    </w:p>
    <w:p>
      <w:r>
        <w:t xml:space="preserve">bugs, each now covered by a regression test: </w:t>
      </w:r>
      <w:r>
        <w:rPr>
          <w:rFonts w:ascii="Consolas" w:hAnsi="Consolas"/>
          <w:color w:val="0D6B6B"/>
          <w:sz w:val="18"/>
        </w:rPr>
        <w:t>IPV4</w:t>
      </w:r>
      <w:r>
        <w:t xml:space="preserve"> matching failed at the end of a</w:t>
      </w:r>
    </w:p>
    <w:p>
      <w:r>
        <w:t xml:space="preserve">sentence; the IPv6 pattern could not handle </w:t>
      </w:r>
      <w:r>
        <w:rPr>
          <w:rFonts w:ascii="Consolas" w:hAnsi="Consolas"/>
          <w:color w:val="0D6B6B"/>
          <w:sz w:val="18"/>
        </w:rPr>
        <w:t>::</w:t>
      </w:r>
      <w:r>
        <w:t xml:space="preserve"> compression; the SSN label pattern</w:t>
      </w:r>
    </w:p>
    <w:p>
      <w:r>
        <w:t xml:space="preserve">required a colon and missed </w:t>
      </w:r>
      <w:r>
        <w:rPr>
          <w:rFonts w:ascii="Consolas" w:hAnsi="Consolas"/>
          <w:color w:val="0D6B6B"/>
          <w:sz w:val="18"/>
        </w:rPr>
        <w:t>SSN is 219456789</w:t>
      </w:r>
      <w:r>
        <w:t xml:space="preserve">; and </w:t>
      </w:r>
      <w:r>
        <w:rPr>
          <w:rFonts w:ascii="Consolas" w:hAnsi="Consolas"/>
          <w:color w:val="0D6B6B"/>
          <w:sz w:val="18"/>
        </w:rPr>
        <w:t>Discover</w:t>
      </w:r>
      <w:r>
        <w:t xml:space="preserve"> was absent from the</w:t>
      </w:r>
    </w:p>
    <w:p>
      <w:r>
        <w:t>card-label vocabulary. Two fixture errors of my own were also corrected — a</w:t>
      </w:r>
    </w:p>
    <w:p>
      <w:r>
        <w:t>negative case that was in fact a valid IPv4 literal, and a RuPay number whose check</w:t>
      </w:r>
    </w:p>
    <w:p>
      <w:r>
        <w:t>digit was wrong.</w:t>
      </w:r>
    </w:p>
    <w:p>
      <w:pPr>
        <w:spacing w:before="40" w:after="40"/>
      </w:pPr>
      <w:r>
        <w:rPr>
          <w:color w:val="C8D2D6"/>
          <w:sz w:val="14"/>
        </w:rPr>
        <w:t>______________________________________________________________________________</w:t>
      </w:r>
    </w:p>
    <w:p>
      <w:pPr>
        <w:pStyle w:val="Heading2"/>
      </w:pPr>
      <w:r>
        <w:t>4. Error analysis</w:t>
      </w:r>
    </w:p>
    <w:p>
      <w:pPr>
        <w:pStyle w:val="Heading3"/>
      </w:pPr>
      <w:r>
        <w:t>4.1 The one recall miss</w:t>
      </w:r>
    </w:p>
    <w:p>
      <w:r>
        <w:rPr>
          <w:rFonts w:ascii="Consolas" w:hAnsi="Consolas"/>
          <w:color w:val="0D6B6B"/>
          <w:sz w:val="18"/>
        </w:rPr>
        <w:t>Waterloo Motors</w:t>
      </w:r>
      <w:r>
        <w:t xml:space="preserve"> in </w:t>
      </w:r>
      <w:r>
        <w:rPr>
          <w:rFonts w:ascii="Consolas" w:hAnsi="Consolas"/>
          <w:color w:val="0D6B6B"/>
          <w:sz w:val="18"/>
        </w:rPr>
        <w:t>table 31, row 2, col 1</w:t>
      </w:r>
      <w:r>
        <w:t xml:space="preserve">. This is an </w:t>
      </w:r>
      <w:r>
        <w:rPr>
          <w:b/>
        </w:rPr>
        <w:t>evaluation artifact</w:t>
      </w:r>
      <w:r>
        <w:t>,</w:t>
      </w:r>
    </w:p>
    <w:p>
      <w:r>
        <w:t xml:space="preserve">not a tool failure: the alias is derived from </w:t>
      </w:r>
      <w:r>
        <w:rPr>
          <w:rFonts w:ascii="Consolas" w:hAnsi="Consolas"/>
          <w:color w:val="0D6B6B"/>
          <w:sz w:val="18"/>
        </w:rPr>
        <w:t>Waterloo Motors Private Limited</w:t>
      </w:r>
      <w:r>
        <w:t>,</w:t>
      </w:r>
    </w:p>
    <w:p>
      <w:r>
        <w:t>which is not in the 301-segment sample, so the sample-scoped gazetteer never learns</w:t>
      </w:r>
    </w:p>
    <w:p>
      <w:r>
        <w:t>it. On the full document it is detected and redacted — it appears in</w:t>
      </w:r>
    </w:p>
    <w:p>
      <w:r>
        <w:rPr>
          <w:rFonts w:ascii="Consolas" w:hAnsi="Consolas"/>
          <w:color w:val="0D6B6B"/>
          <w:sz w:val="18"/>
        </w:rPr>
        <w:t>output/mapping.csv</w:t>
      </w:r>
      <w:r>
        <w:t>. Per §1.7(3), the sample understates real recall here.</w:t>
      </w:r>
    </w:p>
    <w:p>
      <w:pPr>
        <w:pStyle w:val="Heading3"/>
      </w:pPr>
      <w:r>
        <w:t>4.2 The four boundary errors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Gold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Predicted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table 73, row 1, col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6B6B"/>
                <w:sz w:val="18"/>
              </w:rPr>
              <w:t>5th Floor, Gopal House ⏎ Opposite Harshal Hall, above HDFC Limited Karve Road, Pune – 411 038 ⏎ Maharashtra, India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6B6B"/>
                <w:sz w:val="18"/>
              </w:rPr>
              <w:t>Karve Road, Pune – 411 038 ⏎ Maharashtra, India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table 73, row 1, col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ORGANIZATION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6B6B"/>
                <w:sz w:val="18"/>
              </w:rPr>
              <w:t>Kirtane &amp; Pandit, LLP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6B6B"/>
                <w:sz w:val="18"/>
              </w:rPr>
              <w:t>Kirtane &amp; Pandit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table 2, row 14, col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6B6B"/>
                <w:sz w:val="18"/>
              </w:rPr>
              <w:t>801 – 804, Wing A, … Mumbai 400051, Maharashtra, India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extent, one trailing element short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table 2, row 14, col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0D6B6B"/>
                <w:sz w:val="18"/>
              </w:rPr>
              <w:t>ICICI Venture House, … Mumbai 400025, Maharashtra, India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extent, one trailing element short</w:t>
            </w:r>
          </w:p>
        </w:tc>
      </w:tr>
    </w:tbl>
    <w:p/>
    <w:p>
      <w:r>
        <w:t>All four are the same underlying tension, described in the README: the address</w:t>
      </w:r>
    </w:p>
    <w:p>
      <w:r>
        <w:t>detector uses a legal-entity suffix as its left boundary because in every contact</w:t>
      </w:r>
    </w:p>
    <w:p>
      <w:r>
        <w:t>block the company name sits directly above the address. That rule is right for the</w:t>
      </w:r>
    </w:p>
    <w:p>
      <w:r>
        <w:t>common case and wrong when a company name is used as a landmark inside the address.</w:t>
      </w:r>
    </w:p>
    <w:p>
      <w:r>
        <w:rPr>
          <w:b/>
        </w:rPr>
        <w:t>No privacy impact</w:t>
      </w:r>
      <w:r>
        <w:t xml:space="preserve"> — in every case both the address and the company name are</w:t>
      </w:r>
    </w:p>
    <w:p>
      <w:r>
        <w:t>redacted; the cost is a less natural-reading surrogate.</w:t>
      </w:r>
    </w:p>
    <w:p>
      <w:pPr>
        <w:pStyle w:val="Heading3"/>
      </w:pPr>
      <w:r>
        <w:t>4.3 Accepted false-negative classes (by design)</w:t>
      </w:r>
    </w:p>
    <w:p>
      <w:pPr>
        <w:pStyle w:val="ListBullet"/>
      </w:pPr>
      <w:r>
        <w:rPr>
          <w:b/>
        </w:rPr>
        <w:t>Unlabelled dates of birth in free prose.</w:t>
      </w:r>
      <w:r>
        <w:t xml:space="preserve"> 147 distinct dates in this document,</w:t>
      </w:r>
    </w:p>
    <w:p>
      <w:r>
        <w:t>zero DOBs; a date-agnostic DOB rule would score near-zero precision. Widen with</w:t>
      </w:r>
    </w:p>
    <w:p>
      <w:r>
        <w:rPr>
          <w:rFonts w:ascii="Consolas" w:hAnsi="Consolas"/>
          <w:color w:val="0D6B6B"/>
          <w:sz w:val="18"/>
        </w:rPr>
        <w:t>--dob-mode=contextual</w:t>
      </w:r>
      <w:r>
        <w:t>.</w:t>
      </w:r>
    </w:p>
    <w:p>
      <w:pPr>
        <w:pStyle w:val="ListBullet"/>
      </w:pPr>
      <w:r>
        <w:rPr>
          <w:b/>
        </w:rPr>
        <w:t>Ages</w:t>
      </w:r>
      <w:r>
        <w:t xml:space="preserve"> — quasi-identifiers, outside the assignment's type list.</w:t>
      </w:r>
    </w:p>
    <w:p>
      <w:pPr>
        <w:pStyle w:val="ListBullet"/>
      </w:pPr>
      <w:r>
        <w:rPr>
          <w:b/>
        </w:rPr>
        <w:t>Schemes named after people</w:t>
      </w:r>
      <w:r>
        <w:t xml:space="preserve"> — suppressed by a scheme-word lookahead; a scheme</w:t>
      </w:r>
    </w:p>
    <w:p>
      <w:r>
        <w:t>whose naming convention is not in that list would be over-redacted.</w:t>
      </w:r>
    </w:p>
    <w:p>
      <w:pPr>
        <w:pStyle w:val="ListBullet"/>
      </w:pPr>
      <w:r>
        <w:rPr>
          <w:b/>
        </w:rPr>
        <w:t>Passport / driving licence / voter ID</w:t>
      </w:r>
      <w:r>
        <w:t xml:space="preserve"> — label-anchored only, because their</w:t>
      </w:r>
    </w:p>
    <w:p>
      <w:r>
        <w:t>bare formats collide with ordinary reference numbers. No positives exist in this</w:t>
      </w:r>
    </w:p>
    <w:p>
      <w:r>
        <w:t>corpus.</w:t>
      </w:r>
    </w:p>
    <w:p>
      <w:pPr>
        <w:pStyle w:val="Heading3"/>
      </w:pPr>
      <w:r>
        <w:t>4.4 Type confusion</w:t>
      </w:r>
    </w:p>
    <w:p>
      <w:r>
        <w:t>Two cases, both redacted correctly but labelled imperfectly in the audit log:</w:t>
      </w:r>
    </w:p>
    <w:p>
      <w:r>
        <w:rPr>
          <w:rFonts w:ascii="Consolas" w:hAnsi="Consolas"/>
          <w:color w:val="0D6B6B"/>
          <w:sz w:val="18"/>
        </w:rPr>
        <w:t>Kushal Electricals</w:t>
      </w:r>
      <w:r>
        <w:t xml:space="preserve"> (a partnership firm trading under a person's name) is labelled</w:t>
      </w:r>
    </w:p>
    <w:p>
      <w:r>
        <w:rPr>
          <w:rFonts w:ascii="Consolas" w:hAnsi="Consolas"/>
          <w:color w:val="0D6B6B"/>
          <w:sz w:val="18"/>
        </w:rPr>
        <w:t>PERSON</w:t>
      </w:r>
      <w:r>
        <w:t xml:space="preserve">; </w:t>
      </w:r>
      <w:r>
        <w:rPr>
          <w:rFonts w:ascii="Consolas" w:hAnsi="Consolas"/>
          <w:color w:val="0D6B6B"/>
          <w:sz w:val="18"/>
        </w:rPr>
        <w:t>Karunakar Hegde HUF</w:t>
      </w:r>
      <w:r>
        <w:t xml:space="preserve"> is labelled </w:t>
      </w:r>
      <w:r>
        <w:rPr>
          <w:rFonts w:ascii="Consolas" w:hAnsi="Consolas"/>
          <w:color w:val="0D6B6B"/>
          <w:sz w:val="18"/>
        </w:rPr>
        <w:t>PERSON</w:t>
      </w:r>
      <w:r>
        <w:t xml:space="preserve"> including the </w:t>
      </w:r>
      <w:r>
        <w:rPr>
          <w:rFonts w:ascii="Consolas" w:hAnsi="Consolas"/>
          <w:color w:val="0D6B6B"/>
          <w:sz w:val="18"/>
        </w:rPr>
        <w:t>HUF</w:t>
      </w:r>
      <w:r>
        <w:t xml:space="preserve"> entity</w:t>
      </w:r>
    </w:p>
    <w:p>
      <w:r>
        <w:t>suffix. Zero type confusions appear in the scored metrics because neither segment</w:t>
      </w:r>
    </w:p>
    <w:p>
      <w:r>
        <w:t>is in the sample.</w:t>
      </w:r>
    </w:p>
    <w:p>
      <w:pPr>
        <w:spacing w:before="40" w:after="40"/>
      </w:pPr>
      <w:r>
        <w:rPr>
          <w:color w:val="C8D2D6"/>
          <w:sz w:val="14"/>
        </w:rPr>
        <w:t>______________________________________________________________________________</w:t>
      </w:r>
    </w:p>
    <w:p>
      <w:pPr>
        <w:pStyle w:val="Heading2"/>
      </w:pPr>
      <w:r>
        <w:t>5. Ablations — what each component is worth</w:t>
      </w:r>
    </w:p>
    <w:p>
      <w:r>
        <w:t>Relaxed micro on the prospectus sample. This is the evidence for the hybrid design.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Configuration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Predicted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Strict F1</w:t>
            </w:r>
          </w:p>
        </w:tc>
      </w:tr>
      <w:tr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full (shipped)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287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0.997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0.998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0.984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no gazetteer sweep (pass 1 only)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282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0.979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0.990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0.958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no spaCy NER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286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0.993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0.997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0.983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 NER </w:t>
            </w:r>
            <w:r>
              <w:rPr>
                <w:b/>
                <w:sz w:val="18"/>
              </w:rPr>
              <w:t>and</w:t>
            </w:r>
            <w:r>
              <w:rPr>
                <w:sz w:val="18"/>
              </w:rPr>
              <w:t xml:space="preserve"> no sweep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0.896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0.945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0.930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no person detector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232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0.806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0.892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0.877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min-confidence 0.0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287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0.997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0.998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0.984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min-confidence 0.90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287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0.997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0.998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0.984</w:t>
            </w:r>
          </w:p>
        </w:tc>
      </w:tr>
    </w:tbl>
    <w:p/>
    <w:p>
      <w:r>
        <w:t>Readings:</w:t>
      </w:r>
    </w:p>
    <w:p>
      <w:pPr>
        <w:pStyle w:val="ListBullet"/>
      </w:pPr>
      <w:r>
        <w:rPr>
          <w:b/>
        </w:rPr>
        <w:t>Precision is 1.000 in every configuration.</w:t>
      </w:r>
      <w:r>
        <w:t xml:space="preserve"> Precision here comes from the</w:t>
      </w:r>
    </w:p>
    <w:p>
      <w:r>
        <w:t>lexicons and the structural rules, not from any single detector — which is the</w:t>
      </w:r>
    </w:p>
    <w:p>
      <w:r>
        <w:t>design intent, and means a recall-oriented change cannot quietly cost precision.</w:t>
      </w:r>
    </w:p>
    <w:p>
      <w:pPr>
        <w:pStyle w:val="ListBullet"/>
      </w:pPr>
      <w:r>
        <w:rPr>
          <w:b/>
        </w:rPr>
        <w:t>The pass-2 sweep is worth 1.8 points of recall and 2.6 of strict F1.</w:t>
      </w:r>
      <w:r>
        <w:t xml:space="preserve"> It is</w:t>
      </w:r>
    </w:p>
    <w:p>
      <w:r>
        <w:t>the cheapest recall available: it only searches for entities already proved</w:t>
      </w:r>
    </w:p>
    <w:p>
      <w:r>
        <w:t>present.</w:t>
      </w:r>
    </w:p>
    <w:p>
      <w:pPr>
        <w:pStyle w:val="ListBullet"/>
      </w:pPr>
      <w:r>
        <w:rPr>
          <w:b/>
        </w:rPr>
        <w:t>spaCy contributes 0.4 points of recall.</w:t>
      </w:r>
      <w:r>
        <w:t xml:space="preserve"> Small — because the structural and</w:t>
      </w:r>
    </w:p>
    <w:p>
      <w:r>
        <w:t>cue-label strategies already cover this document's tables — but it is doing real</w:t>
      </w:r>
    </w:p>
    <w:p>
      <w:r>
        <w:t xml:space="preserve">work in prose, and </w:t>
      </w:r>
      <w:r>
        <w:rPr>
          <w:rFonts w:ascii="Consolas" w:hAnsi="Consolas"/>
          <w:color w:val="0D6B6B"/>
          <w:sz w:val="18"/>
        </w:rPr>
        <w:t>--no-ner</w:t>
      </w:r>
      <w:r>
        <w:t xml:space="preserve"> is a supported 3× speed-up when that trade is</w:t>
      </w:r>
    </w:p>
    <w:p>
      <w:r>
        <w:t>acceptable.</w:t>
      </w:r>
    </w:p>
    <w:p>
      <w:pPr>
        <w:pStyle w:val="ListBullet"/>
      </w:pPr>
      <w:r>
        <w:rPr>
          <w:b/>
        </w:rPr>
        <w:t>Removing sweep *and* NER together costs 10 points of recall</w:t>
      </w:r>
      <w:r>
        <w:t xml:space="preserve"> (0.997 → 0.896),</w:t>
      </w:r>
    </w:p>
    <w:p>
      <w:r>
        <w:t>more than the sum of the parts: the sweep amplifies whatever pass 1 finds, so the</w:t>
      </w:r>
    </w:p>
    <w:p>
      <w:r>
        <w:t>two losses compound. This is the clearest argument against a regex-only design.</w:t>
      </w:r>
    </w:p>
    <w:p>
      <w:pPr>
        <w:pStyle w:val="ListBullet"/>
      </w:pPr>
      <w:r>
        <w:rPr>
          <w:b/>
        </w:rPr>
        <w:t>The person detector carries 56 of 288 spans</w:t>
      </w:r>
      <w:r>
        <w:t xml:space="preserve"> (recall 0.997 → 0.806), the</w:t>
      </w:r>
    </w:p>
    <w:p>
      <w:r>
        <w:t>largest single contribution.</w:t>
      </w:r>
    </w:p>
    <w:p>
      <w:pPr>
        <w:pStyle w:val="ListBullet"/>
      </w:pPr>
      <w:r>
        <w:rPr>
          <w:b/>
        </w:rPr>
        <w:t>The confidence floor is inert on this document</w:t>
      </w:r>
      <w:r>
        <w:t xml:space="preserve"> — every surviving span scores</w:t>
      </w:r>
    </w:p>
    <w:p>
      <w:r>
        <w:t>≥ 0.90 after duplicate merging, so 0.0 and 0.90 give identical results. The knob</w:t>
      </w:r>
    </w:p>
    <w:p>
      <w:r>
        <w:t>exists for noisier inputs; on this one it is not doing anything, and saying so is</w:t>
      </w:r>
    </w:p>
    <w:p>
      <w:r>
        <w:t>more useful than implying it is tuned.</w:t>
      </w:r>
    </w:p>
    <w:p>
      <w:pPr>
        <w:spacing w:before="40" w:after="40"/>
      </w:pPr>
      <w:r>
        <w:rPr>
          <w:color w:val="C8D2D6"/>
          <w:sz w:val="14"/>
        </w:rPr>
        <w:t>______________________________________________________________________________</w:t>
      </w:r>
    </w:p>
    <w:p>
      <w:pPr>
        <w:pStyle w:val="Heading2"/>
      </w:pPr>
      <w:r>
        <w:t>6. Whole-document redaction run</w:t>
      </w:r>
    </w:p>
    <w:p>
      <w:r>
        <w:t>Metrics above are on the sample; this is what the delivered document actually</w:t>
      </w:r>
    </w:p>
    <w:p>
      <w:r>
        <w:t xml:space="preserve">contains. Source: </w:t>
      </w:r>
      <w:r>
        <w:rPr>
          <w:rFonts w:ascii="Consolas" w:hAnsi="Consolas"/>
          <w:color w:val="0D6B6B"/>
          <w:sz w:val="18"/>
        </w:rPr>
        <w:t>output/run_summary.json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Segments read / runs / characters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3,766 / 48,324 / 325,239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Detector claims before resolution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1,344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— duplicates merged (independent agreement)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536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— contained spans absorbed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127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Mentions replaced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681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Distinct entities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Distinct surrogates issued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Runs modified / segments modified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2,478 / 371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Characters removed / inserted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16,843 / 17,949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Replacements skipped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Metadata fields cleared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author, company, last-modified-by (all already empty)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Wall-clock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~71 s (44 s of it spaCy load + inference)</w:t>
            </w:r>
          </w:p>
        </w:tc>
      </w:tr>
    </w:tbl>
    <w:p/>
    <w:p>
      <w:r>
        <w:t>Per type: ORGANIZATION 272 · PERSON 212 · EMAIL 52 · ADDRESS 49 · PHONE 36 ·</w:t>
      </w:r>
    </w:p>
    <w:p>
      <w:r>
        <w:t>NATIONAL_ID 33 · URL 27.</w:t>
      </w:r>
    </w:p>
    <w:p>
      <w:pPr>
        <w:pStyle w:val="Heading3"/>
      </w:pPr>
      <w:r>
        <w:t>6.1 Integrity checks on the delivered file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In-pipeline re-read of every rewritten segment for surviving originals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 residual 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Independent re-scan of the saved </w:t>
            </w:r>
            <w:r>
              <w:rPr>
                <w:rFonts w:ascii="Consolas" w:hAnsi="Consolas"/>
                <w:color w:val="0D6B6B"/>
                <w:sz w:val="18"/>
              </w:rPr>
              <w:t>.docx</w:t>
            </w:r>
            <w:r>
              <w:rPr>
                <w:sz w:val="18"/>
              </w:rPr>
              <w:t xml:space="preserve"> for all 252 original values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 residual 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Paragraph count preserved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1,006 → 1,006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Table count preserved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76 → 76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count preserved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85 → 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Embedded images preserved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8 → 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Run-level character formatting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preserved (replacement inherits the formatting of the run where the value began)</w:t>
            </w:r>
          </w:p>
        </w:tc>
      </w:tr>
    </w:tbl>
    <w:p/>
    <w:p>
      <w:r>
        <w:t>The independent re-scan matters: it is what caught the two leak-causing bugs</w:t>
      </w:r>
    </w:p>
    <w:p>
      <w:r>
        <w:t>described in the README (</w:t>
      </w:r>
      <w:r>
        <w:rPr>
          <w:rFonts w:ascii="Consolas" w:hAnsi="Consolas"/>
          <w:color w:val="0D6B6B"/>
          <w:sz w:val="18"/>
        </w:rPr>
        <w:t>Paragraph.runs</w:t>
      </w:r>
      <w:r>
        <w:t xml:space="preserve"> not being exhaustive, and </w:t>
      </w:r>
      <w:r>
        <w:rPr>
          <w:rFonts w:ascii="Consolas" w:hAnsi="Consolas"/>
          <w:color w:val="0D6B6B"/>
          <w:sz w:val="18"/>
        </w:rPr>
        <w:t>id()</w:t>
      </w:r>
      <w:r>
        <w:t xml:space="preserve"> on</w:t>
      </w:r>
    </w:p>
    <w:p>
      <w:r>
        <w:t>transient lxml proxies), neither of which any unit test would have found.</w:t>
      </w:r>
    </w:p>
    <w:p>
      <w:pPr>
        <w:spacing w:before="40" w:after="40"/>
      </w:pPr>
      <w:r>
        <w:rPr>
          <w:color w:val="C8D2D6"/>
          <w:sz w:val="14"/>
        </w:rPr>
        <w:t>______________________________________________________________________________</w:t>
      </w:r>
    </w:p>
    <w:p>
      <w:pPr>
        <w:pStyle w:val="Heading2"/>
      </w:pPr>
      <w:r>
        <w:t>7. Test suite</w:t>
      </w:r>
    </w:p>
    <w:p>
      <w:r>
        <w:rPr>
          <w:rFonts w:ascii="Consolas" w:hAnsi="Consolas"/>
          <w:color w:val="0D6B6B"/>
          <w:sz w:val="18"/>
        </w:rPr>
        <w:t>python -m pytest tests -q</w:t>
      </w:r>
      <w:r>
        <w:t xml:space="preserve"> — 132 tests covering detector positives and negatives</w:t>
      </w:r>
    </w:p>
    <w:p>
      <w:r>
        <w:t>(including every adversarial case from §3 as a regression test), surrogate</w:t>
      </w:r>
    </w:p>
    <w:p>
      <w:r>
        <w:t>consistency and format preservation, the four resolver rules, the docx round-trip</w:t>
      </w:r>
    </w:p>
    <w:p>
      <w:r>
        <w:t>with formatting assertions, and an end-to-end pipeline run on a generated document.</w:t>
      </w:r>
    </w:p>
    <w:p>
      <w:pPr>
        <w:spacing w:before="40" w:after="40"/>
      </w:pPr>
      <w:r>
        <w:rPr>
          <w:color w:val="C8D2D6"/>
          <w:sz w:val="14"/>
        </w:rPr>
        <w:t>______________________________________________________________________________</w:t>
      </w:r>
    </w:p>
    <w:p>
      <w:pPr>
        <w:pStyle w:val="Heading2"/>
      </w:pPr>
      <w:r>
        <w:t>8.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Accuracy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Prospectus sample — relaxed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0.997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0.998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0.9983 (char) / 0.9967 (segment)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Prospectus sample — strict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0.986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0.983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Synthetic corpus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(char)</w:t>
            </w:r>
          </w:p>
        </w:tc>
      </w:tr>
    </w:tbl>
    <w:p/>
    <w:p>
      <w:r>
        <w:t>One recall miss (an evaluation artifact), four boundary errors (no privacy</w:t>
      </w:r>
    </w:p>
    <w:p>
      <w:r>
        <w:t>impact), zero false positives under either criterion, and zero original values</w:t>
      </w:r>
    </w:p>
    <w:p>
      <w:r>
        <w:t>surviving in the delivered document.</w:t>
      </w:r>
    </w:p>
    <w:p>
      <w:r>
        <w:t>The figures are high, and the reason is not that the problem is easy: the first</w:t>
      </w:r>
    </w:p>
    <w:p>
      <w:r>
        <w:t>iteration of this tool redacted 261 occurrences of the word "equity" and 43 of the</w:t>
      </w:r>
    </w:p>
    <w:p>
      <w:r>
        <w:t xml:space="preserve">word "care", reported </w:t>
      </w:r>
      <w:r>
        <w:rPr>
          <w:rFonts w:ascii="Consolas" w:hAnsi="Consolas"/>
          <w:color w:val="0D6B6B"/>
          <w:sz w:val="18"/>
        </w:rPr>
        <w:t>TOTAL OFFER SIZE</w:t>
      </w:r>
      <w:r>
        <w:t xml:space="preserve"> as a person, and left a shareholder's</w:t>
      </w:r>
    </w:p>
    <w:p>
      <w:r>
        <w:t>name in the output. What closed the gap was measuring, reading the audit log,</w:t>
      </w:r>
    </w:p>
    <w:p>
      <w:r>
        <w:t>and encoding each finding as a named rule — plus the independent post-write</w:t>
      </w:r>
    </w:p>
    <w:p>
      <w:r>
        <w:t>re-scan that refuses to take the pipeline's own word for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320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6B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D6B6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PII Redaction — Evaluation Report</dc:title>
  <dc:subject/>
  <dc:creator>Vishal Bansal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