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446154466"/>
        <w:docPartObj>
          <w:docPartGallery w:val="Cover Pages"/>
          <w:docPartUnique/>
        </w:docPartObj>
      </w:sdtPr>
      <w:sdtEndPr>
        <w:rPr>
          <w:rFonts w:ascii="Times New Roman" w:eastAsia="Times New Roman" w:hAnsi="Times New Roman" w:cs="Times New Roman"/>
          <w:b/>
          <w:bCs/>
          <w:color w:val="000000"/>
          <w:kern w:val="2"/>
          <w:sz w:val="24"/>
          <w:szCs w:val="24"/>
          <w:lang w:val="en" w:eastAsia="en"/>
          <w14:ligatures w14:val="standardContextual"/>
        </w:rPr>
      </w:sdtEndPr>
      <w:sdtContent>
        <w:p w14:paraId="1C0FFC71" w14:textId="6D0BA48E" w:rsidR="00C77CB8" w:rsidRDefault="00C77CB8">
          <w:pPr>
            <w:pStyle w:val="NoSpacing"/>
            <w:spacing w:before="1540" w:after="240"/>
            <w:jc w:val="center"/>
            <w:rPr>
              <w:color w:val="156082" w:themeColor="accent1"/>
            </w:rPr>
          </w:pPr>
          <w:r>
            <w:rPr>
              <w:noProof/>
              <w:color w:val="156082" w:themeColor="accent1"/>
            </w:rPr>
            <w:drawing>
              <wp:inline distT="0" distB="0" distL="0" distR="0" wp14:anchorId="6B282FBD" wp14:editId="7FBC4BA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2C3A8E2CEF5145729883A14CAC1614F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C54418F" w14:textId="43199386" w:rsidR="00C77CB8" w:rsidRDefault="00C77CB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FINA 6203: Investment Analysis</w:t>
              </w:r>
            </w:p>
          </w:sdtContent>
        </w:sdt>
        <w:sdt>
          <w:sdtPr>
            <w:rPr>
              <w:color w:val="156082" w:themeColor="accent1"/>
              <w:sz w:val="28"/>
              <w:szCs w:val="28"/>
            </w:rPr>
            <w:alias w:val="Subtitle"/>
            <w:tag w:val=""/>
            <w:id w:val="328029620"/>
            <w:placeholder>
              <w:docPart w:val="8B19C19FE98A426F8C5CD8AD75F1346A"/>
            </w:placeholder>
            <w:dataBinding w:prefixMappings="xmlns:ns0='http://purl.org/dc/elements/1.1/' xmlns:ns1='http://schemas.openxmlformats.org/package/2006/metadata/core-properties' " w:xpath="/ns1:coreProperties[1]/ns0:subject[1]" w:storeItemID="{6C3C8BC8-F283-45AE-878A-BAB7291924A1}"/>
            <w:text/>
          </w:sdtPr>
          <w:sdtContent>
            <w:p w14:paraId="3763E1DE" w14:textId="4D0B83C7" w:rsidR="00C77CB8" w:rsidRDefault="00C77CB8">
              <w:pPr>
                <w:pStyle w:val="NoSpacing"/>
                <w:jc w:val="center"/>
                <w:rPr>
                  <w:color w:val="156082" w:themeColor="accent1"/>
                  <w:sz w:val="28"/>
                  <w:szCs w:val="28"/>
                </w:rPr>
              </w:pPr>
              <w:r>
                <w:rPr>
                  <w:color w:val="156082" w:themeColor="accent1"/>
                  <w:sz w:val="28"/>
                  <w:szCs w:val="28"/>
                </w:rPr>
                <w:t>Mutual Fund Report: Vanguard 500 Index Fund Admiral Shares (VFIAX)</w:t>
              </w:r>
            </w:p>
          </w:sdtContent>
        </w:sdt>
        <w:p w14:paraId="0DDCD01A" w14:textId="77777777" w:rsidR="00C77CB8" w:rsidRDefault="00C77CB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79232" behindDoc="0" locked="0" layoutInCell="1" allowOverlap="1" wp14:anchorId="75AE8E4B" wp14:editId="4495CA9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DB30A42" w14:textId="3C58BB89" w:rsidR="00C77CB8" w:rsidRDefault="00C77CB8">
                                    <w:pPr>
                                      <w:pStyle w:val="NoSpacing"/>
                                      <w:spacing w:after="40"/>
                                      <w:jc w:val="center"/>
                                      <w:rPr>
                                        <w:caps/>
                                        <w:color w:val="156082" w:themeColor="accent1"/>
                                        <w:sz w:val="28"/>
                                        <w:szCs w:val="28"/>
                                      </w:rPr>
                                    </w:pPr>
                                    <w:r>
                                      <w:rPr>
                                        <w:caps/>
                                        <w:color w:val="156082" w:themeColor="accent1"/>
                                        <w:sz w:val="28"/>
                                        <w:szCs w:val="28"/>
                                      </w:rPr>
                                      <w:t>TEam 2: duc nghia (michael) phan, bansi nirav thakkar, fadi frem boustani, ohene boahen, zhe chen, wenxi liu</w:t>
                                    </w:r>
                                  </w:p>
                                </w:sdtContent>
                              </w:sdt>
                              <w:p w14:paraId="389D7CF7" w14:textId="48FFC058" w:rsidR="00C77CB8" w:rsidRDefault="00C77CB8">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Presented to Professor paul chiou</w:t>
                                    </w:r>
                                  </w:sdtContent>
                                </w:sdt>
                              </w:p>
                              <w:p w14:paraId="0CCFD44B" w14:textId="3467C625" w:rsidR="00C77CB8" w:rsidRDefault="00C77CB8">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5AE8E4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792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DB30A42" w14:textId="3C58BB89" w:rsidR="00C77CB8" w:rsidRDefault="00C77CB8">
                              <w:pPr>
                                <w:pStyle w:val="NoSpacing"/>
                                <w:spacing w:after="40"/>
                                <w:jc w:val="center"/>
                                <w:rPr>
                                  <w:caps/>
                                  <w:color w:val="156082" w:themeColor="accent1"/>
                                  <w:sz w:val="28"/>
                                  <w:szCs w:val="28"/>
                                </w:rPr>
                              </w:pPr>
                              <w:r>
                                <w:rPr>
                                  <w:caps/>
                                  <w:color w:val="156082" w:themeColor="accent1"/>
                                  <w:sz w:val="28"/>
                                  <w:szCs w:val="28"/>
                                </w:rPr>
                                <w:t>TEam 2: duc nghia (michael) phan, bansi nirav thakkar, fadi frem boustani, ohene boahen, zhe chen, wenxi liu</w:t>
                              </w:r>
                            </w:p>
                          </w:sdtContent>
                        </w:sdt>
                        <w:p w14:paraId="389D7CF7" w14:textId="48FFC058" w:rsidR="00C77CB8" w:rsidRDefault="00C77CB8">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Presented to Professor paul chiou</w:t>
                              </w:r>
                            </w:sdtContent>
                          </w:sdt>
                        </w:p>
                        <w:p w14:paraId="0CCFD44B" w14:textId="3467C625" w:rsidR="00C77CB8" w:rsidRDefault="00C77CB8">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418A83C9" wp14:editId="79EE89F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1C5A5C2" w14:textId="079CCB8B" w:rsidR="00012A03" w:rsidRPr="00C77CB8" w:rsidRDefault="00C77CB8" w:rsidP="00C77CB8">
          <w:pPr>
            <w:rPr>
              <w:b/>
              <w:bCs/>
              <w:sz w:val="24"/>
            </w:rPr>
          </w:pPr>
          <w:r>
            <w:rPr>
              <w:b/>
              <w:bCs/>
              <w:sz w:val="24"/>
            </w:rPr>
            <w:br w:type="page"/>
          </w:r>
        </w:p>
      </w:sdtContent>
    </w:sdt>
    <w:sdt>
      <w:sdtPr>
        <w:id w:val="377285394"/>
        <w:docPartObj>
          <w:docPartGallery w:val="Table of Contents"/>
          <w:docPartUnique/>
        </w:docPartObj>
      </w:sdtPr>
      <w:sdtEndPr>
        <w:rPr>
          <w:rFonts w:ascii="Times New Roman" w:eastAsia="Times New Roman" w:hAnsi="Times New Roman" w:cs="Times New Roman"/>
          <w:b/>
          <w:bCs/>
          <w:noProof/>
          <w:color w:val="000000"/>
          <w:kern w:val="2"/>
          <w:sz w:val="22"/>
          <w:szCs w:val="24"/>
          <w:lang w:val="en" w:eastAsia="en"/>
          <w14:ligatures w14:val="standardContextual"/>
        </w:rPr>
      </w:sdtEndPr>
      <w:sdtContent>
        <w:p w14:paraId="0C51BA29" w14:textId="042EC178" w:rsidR="002D3A3A" w:rsidRPr="002D3A3A" w:rsidRDefault="002D3A3A">
          <w:pPr>
            <w:pStyle w:val="TOCHeading"/>
            <w:rPr>
              <w:rFonts w:ascii="Times New Roman" w:hAnsi="Times New Roman" w:cs="Times New Roman"/>
              <w:b/>
              <w:bCs/>
              <w:color w:val="auto"/>
            </w:rPr>
          </w:pPr>
          <w:r w:rsidRPr="002D3A3A">
            <w:rPr>
              <w:rFonts w:ascii="Times New Roman" w:hAnsi="Times New Roman" w:cs="Times New Roman"/>
              <w:b/>
              <w:bCs/>
              <w:color w:val="auto"/>
            </w:rPr>
            <w:t>Table of contents</w:t>
          </w:r>
        </w:p>
        <w:p w14:paraId="65A9B327" w14:textId="6F4A6A62" w:rsidR="002D3A3A" w:rsidRDefault="002D3A3A">
          <w:pPr>
            <w:pStyle w:val="TOC1"/>
            <w:tabs>
              <w:tab w:val="left" w:pos="480"/>
              <w:tab w:val="right" w:leader="dot" w:pos="9926"/>
            </w:tabs>
            <w:rPr>
              <w:rFonts w:asciiTheme="minorHAnsi" w:eastAsiaTheme="minorEastAsia" w:hAnsiTheme="minorHAnsi" w:cstheme="minorBidi"/>
              <w:noProof/>
              <w:color w:val="auto"/>
              <w:sz w:val="24"/>
              <w:lang w:val="en-US" w:eastAsia="en-US"/>
            </w:rPr>
          </w:pPr>
          <w:r>
            <w:fldChar w:fldCharType="begin"/>
          </w:r>
          <w:r>
            <w:instrText xml:space="preserve"> TOC \o "1-3" \h \z \u </w:instrText>
          </w:r>
          <w:r>
            <w:fldChar w:fldCharType="separate"/>
          </w:r>
          <w:hyperlink w:anchor="_Toc213247477" w:history="1">
            <w:r w:rsidRPr="00305029">
              <w:rPr>
                <w:rStyle w:val="Hyperlink"/>
                <w:noProof/>
              </w:rPr>
              <w:t>1.</w:t>
            </w:r>
            <w:r>
              <w:rPr>
                <w:rFonts w:asciiTheme="minorHAnsi" w:eastAsiaTheme="minorEastAsia" w:hAnsiTheme="minorHAnsi" w:cstheme="minorBidi"/>
                <w:noProof/>
                <w:color w:val="auto"/>
                <w:sz w:val="24"/>
                <w:lang w:val="en-US" w:eastAsia="en-US"/>
              </w:rPr>
              <w:tab/>
            </w:r>
            <w:r w:rsidRPr="00305029">
              <w:rPr>
                <w:rStyle w:val="Hyperlink"/>
                <w:noProof/>
              </w:rPr>
              <w:t>Portfolio Objectives</w:t>
            </w:r>
            <w:r>
              <w:rPr>
                <w:noProof/>
                <w:webHidden/>
              </w:rPr>
              <w:tab/>
            </w:r>
            <w:r>
              <w:rPr>
                <w:noProof/>
                <w:webHidden/>
              </w:rPr>
              <w:fldChar w:fldCharType="begin"/>
            </w:r>
            <w:r>
              <w:rPr>
                <w:noProof/>
                <w:webHidden/>
              </w:rPr>
              <w:instrText xml:space="preserve"> PAGEREF _Toc213247477 \h </w:instrText>
            </w:r>
            <w:r>
              <w:rPr>
                <w:noProof/>
                <w:webHidden/>
              </w:rPr>
            </w:r>
            <w:r>
              <w:rPr>
                <w:noProof/>
                <w:webHidden/>
              </w:rPr>
              <w:fldChar w:fldCharType="separate"/>
            </w:r>
            <w:r>
              <w:rPr>
                <w:noProof/>
                <w:webHidden/>
              </w:rPr>
              <w:t>3</w:t>
            </w:r>
            <w:r>
              <w:rPr>
                <w:noProof/>
                <w:webHidden/>
              </w:rPr>
              <w:fldChar w:fldCharType="end"/>
            </w:r>
          </w:hyperlink>
        </w:p>
        <w:p w14:paraId="3A4ADF5F" w14:textId="74572672" w:rsidR="002D3A3A" w:rsidRDefault="002D3A3A">
          <w:pPr>
            <w:pStyle w:val="TOC1"/>
            <w:tabs>
              <w:tab w:val="left" w:pos="480"/>
              <w:tab w:val="right" w:leader="dot" w:pos="9926"/>
            </w:tabs>
            <w:rPr>
              <w:rFonts w:asciiTheme="minorHAnsi" w:eastAsiaTheme="minorEastAsia" w:hAnsiTheme="minorHAnsi" w:cstheme="minorBidi"/>
              <w:noProof/>
              <w:color w:val="auto"/>
              <w:sz w:val="24"/>
              <w:lang w:val="en-US" w:eastAsia="en-US"/>
            </w:rPr>
          </w:pPr>
          <w:hyperlink w:anchor="_Toc213247478" w:history="1">
            <w:r w:rsidRPr="00305029">
              <w:rPr>
                <w:rStyle w:val="Hyperlink"/>
                <w:noProof/>
              </w:rPr>
              <w:t>2.</w:t>
            </w:r>
            <w:r>
              <w:rPr>
                <w:rFonts w:asciiTheme="minorHAnsi" w:eastAsiaTheme="minorEastAsia" w:hAnsiTheme="minorHAnsi" w:cstheme="minorBidi"/>
                <w:noProof/>
                <w:color w:val="auto"/>
                <w:sz w:val="24"/>
                <w:lang w:val="en-US" w:eastAsia="en-US"/>
              </w:rPr>
              <w:tab/>
            </w:r>
            <w:r w:rsidRPr="00305029">
              <w:rPr>
                <w:rStyle w:val="Hyperlink"/>
                <w:noProof/>
              </w:rPr>
              <w:t>Security Holdings</w:t>
            </w:r>
            <w:r>
              <w:rPr>
                <w:noProof/>
                <w:webHidden/>
              </w:rPr>
              <w:tab/>
            </w:r>
            <w:r>
              <w:rPr>
                <w:noProof/>
                <w:webHidden/>
              </w:rPr>
              <w:fldChar w:fldCharType="begin"/>
            </w:r>
            <w:r>
              <w:rPr>
                <w:noProof/>
                <w:webHidden/>
              </w:rPr>
              <w:instrText xml:space="preserve"> PAGEREF _Toc213247478 \h </w:instrText>
            </w:r>
            <w:r>
              <w:rPr>
                <w:noProof/>
                <w:webHidden/>
              </w:rPr>
            </w:r>
            <w:r>
              <w:rPr>
                <w:noProof/>
                <w:webHidden/>
              </w:rPr>
              <w:fldChar w:fldCharType="separate"/>
            </w:r>
            <w:r>
              <w:rPr>
                <w:noProof/>
                <w:webHidden/>
              </w:rPr>
              <w:t>7</w:t>
            </w:r>
            <w:r>
              <w:rPr>
                <w:noProof/>
                <w:webHidden/>
              </w:rPr>
              <w:fldChar w:fldCharType="end"/>
            </w:r>
          </w:hyperlink>
        </w:p>
        <w:p w14:paraId="6568112E" w14:textId="76548E96" w:rsidR="002D3A3A" w:rsidRDefault="002D3A3A">
          <w:pPr>
            <w:pStyle w:val="TOC1"/>
            <w:tabs>
              <w:tab w:val="left" w:pos="480"/>
              <w:tab w:val="right" w:leader="dot" w:pos="9926"/>
            </w:tabs>
            <w:rPr>
              <w:rFonts w:asciiTheme="minorHAnsi" w:eastAsiaTheme="minorEastAsia" w:hAnsiTheme="minorHAnsi" w:cstheme="minorBidi"/>
              <w:noProof/>
              <w:color w:val="auto"/>
              <w:sz w:val="24"/>
              <w:lang w:val="en-US" w:eastAsia="en-US"/>
            </w:rPr>
          </w:pPr>
          <w:hyperlink w:anchor="_Toc213247479" w:history="1">
            <w:r w:rsidRPr="00305029">
              <w:rPr>
                <w:rStyle w:val="Hyperlink"/>
                <w:noProof/>
              </w:rPr>
              <w:t>3.</w:t>
            </w:r>
            <w:r>
              <w:rPr>
                <w:rFonts w:asciiTheme="minorHAnsi" w:eastAsiaTheme="minorEastAsia" w:hAnsiTheme="minorHAnsi" w:cstheme="minorBidi"/>
                <w:noProof/>
                <w:color w:val="auto"/>
                <w:sz w:val="24"/>
                <w:lang w:val="en-US" w:eastAsia="en-US"/>
              </w:rPr>
              <w:tab/>
            </w:r>
            <w:r w:rsidRPr="00305029">
              <w:rPr>
                <w:rStyle w:val="Hyperlink"/>
                <w:noProof/>
              </w:rPr>
              <w:t>Investment horizon and Performance</w:t>
            </w:r>
            <w:r>
              <w:rPr>
                <w:noProof/>
                <w:webHidden/>
              </w:rPr>
              <w:tab/>
            </w:r>
            <w:r>
              <w:rPr>
                <w:noProof/>
                <w:webHidden/>
              </w:rPr>
              <w:fldChar w:fldCharType="begin"/>
            </w:r>
            <w:r>
              <w:rPr>
                <w:noProof/>
                <w:webHidden/>
              </w:rPr>
              <w:instrText xml:space="preserve"> PAGEREF _Toc213247479 \h </w:instrText>
            </w:r>
            <w:r>
              <w:rPr>
                <w:noProof/>
                <w:webHidden/>
              </w:rPr>
            </w:r>
            <w:r>
              <w:rPr>
                <w:noProof/>
                <w:webHidden/>
              </w:rPr>
              <w:fldChar w:fldCharType="separate"/>
            </w:r>
            <w:r>
              <w:rPr>
                <w:noProof/>
                <w:webHidden/>
              </w:rPr>
              <w:t>9</w:t>
            </w:r>
            <w:r>
              <w:rPr>
                <w:noProof/>
                <w:webHidden/>
              </w:rPr>
              <w:fldChar w:fldCharType="end"/>
            </w:r>
          </w:hyperlink>
        </w:p>
        <w:p w14:paraId="64681176" w14:textId="02746D96" w:rsidR="002D3A3A" w:rsidRDefault="002D3A3A">
          <w:pPr>
            <w:pStyle w:val="TOC1"/>
            <w:tabs>
              <w:tab w:val="left" w:pos="480"/>
              <w:tab w:val="right" w:leader="dot" w:pos="9926"/>
            </w:tabs>
            <w:rPr>
              <w:rFonts w:asciiTheme="minorHAnsi" w:eastAsiaTheme="minorEastAsia" w:hAnsiTheme="minorHAnsi" w:cstheme="minorBidi"/>
              <w:noProof/>
              <w:color w:val="auto"/>
              <w:sz w:val="24"/>
              <w:lang w:val="en-US" w:eastAsia="en-US"/>
            </w:rPr>
          </w:pPr>
          <w:hyperlink w:anchor="_Toc213247480" w:history="1">
            <w:r w:rsidRPr="00305029">
              <w:rPr>
                <w:rStyle w:val="Hyperlink"/>
                <w:noProof/>
              </w:rPr>
              <w:t>4.</w:t>
            </w:r>
            <w:r>
              <w:rPr>
                <w:rFonts w:asciiTheme="minorHAnsi" w:eastAsiaTheme="minorEastAsia" w:hAnsiTheme="minorHAnsi" w:cstheme="minorBidi"/>
                <w:noProof/>
                <w:color w:val="auto"/>
                <w:sz w:val="24"/>
                <w:lang w:val="en-US" w:eastAsia="en-US"/>
              </w:rPr>
              <w:tab/>
            </w:r>
            <w:r w:rsidRPr="00305029">
              <w:rPr>
                <w:rStyle w:val="Hyperlink"/>
                <w:noProof/>
              </w:rPr>
              <w:t>Risk management</w:t>
            </w:r>
            <w:r>
              <w:rPr>
                <w:noProof/>
                <w:webHidden/>
              </w:rPr>
              <w:tab/>
            </w:r>
            <w:r>
              <w:rPr>
                <w:noProof/>
                <w:webHidden/>
              </w:rPr>
              <w:fldChar w:fldCharType="begin"/>
            </w:r>
            <w:r>
              <w:rPr>
                <w:noProof/>
                <w:webHidden/>
              </w:rPr>
              <w:instrText xml:space="preserve"> PAGEREF _Toc213247480 \h </w:instrText>
            </w:r>
            <w:r>
              <w:rPr>
                <w:noProof/>
                <w:webHidden/>
              </w:rPr>
            </w:r>
            <w:r>
              <w:rPr>
                <w:noProof/>
                <w:webHidden/>
              </w:rPr>
              <w:fldChar w:fldCharType="separate"/>
            </w:r>
            <w:r>
              <w:rPr>
                <w:noProof/>
                <w:webHidden/>
              </w:rPr>
              <w:t>12</w:t>
            </w:r>
            <w:r>
              <w:rPr>
                <w:noProof/>
                <w:webHidden/>
              </w:rPr>
              <w:fldChar w:fldCharType="end"/>
            </w:r>
          </w:hyperlink>
        </w:p>
        <w:p w14:paraId="0772D076" w14:textId="623CA447" w:rsidR="002D3A3A" w:rsidRDefault="002D3A3A">
          <w:pPr>
            <w:pStyle w:val="TOC1"/>
            <w:tabs>
              <w:tab w:val="left" w:pos="480"/>
              <w:tab w:val="right" w:leader="dot" w:pos="9926"/>
            </w:tabs>
            <w:rPr>
              <w:rFonts w:asciiTheme="minorHAnsi" w:eastAsiaTheme="minorEastAsia" w:hAnsiTheme="minorHAnsi" w:cstheme="minorBidi"/>
              <w:noProof/>
              <w:color w:val="auto"/>
              <w:sz w:val="24"/>
              <w:lang w:val="en-US" w:eastAsia="en-US"/>
            </w:rPr>
          </w:pPr>
          <w:hyperlink w:anchor="_Toc213247481" w:history="1">
            <w:r w:rsidRPr="00305029">
              <w:rPr>
                <w:rStyle w:val="Hyperlink"/>
                <w:noProof/>
              </w:rPr>
              <w:t>5.</w:t>
            </w:r>
            <w:r>
              <w:rPr>
                <w:rFonts w:asciiTheme="minorHAnsi" w:eastAsiaTheme="minorEastAsia" w:hAnsiTheme="minorHAnsi" w:cstheme="minorBidi"/>
                <w:noProof/>
                <w:color w:val="auto"/>
                <w:sz w:val="24"/>
                <w:lang w:val="en-US" w:eastAsia="en-US"/>
              </w:rPr>
              <w:tab/>
            </w:r>
            <w:r w:rsidRPr="00305029">
              <w:rPr>
                <w:rStyle w:val="Hyperlink"/>
                <w:noProof/>
              </w:rPr>
              <w:t>Investor suitability analysis</w:t>
            </w:r>
            <w:r>
              <w:rPr>
                <w:noProof/>
                <w:webHidden/>
              </w:rPr>
              <w:tab/>
            </w:r>
            <w:r>
              <w:rPr>
                <w:noProof/>
                <w:webHidden/>
              </w:rPr>
              <w:fldChar w:fldCharType="begin"/>
            </w:r>
            <w:r>
              <w:rPr>
                <w:noProof/>
                <w:webHidden/>
              </w:rPr>
              <w:instrText xml:space="preserve"> PAGEREF _Toc213247481 \h </w:instrText>
            </w:r>
            <w:r>
              <w:rPr>
                <w:noProof/>
                <w:webHidden/>
              </w:rPr>
            </w:r>
            <w:r>
              <w:rPr>
                <w:noProof/>
                <w:webHidden/>
              </w:rPr>
              <w:fldChar w:fldCharType="separate"/>
            </w:r>
            <w:r>
              <w:rPr>
                <w:noProof/>
                <w:webHidden/>
              </w:rPr>
              <w:t>13</w:t>
            </w:r>
            <w:r>
              <w:rPr>
                <w:noProof/>
                <w:webHidden/>
              </w:rPr>
              <w:fldChar w:fldCharType="end"/>
            </w:r>
          </w:hyperlink>
        </w:p>
        <w:p w14:paraId="5AB3E441" w14:textId="356D1D2D" w:rsidR="002D3A3A" w:rsidRDefault="002D3A3A">
          <w:pPr>
            <w:pStyle w:val="TOC1"/>
            <w:tabs>
              <w:tab w:val="left" w:pos="480"/>
              <w:tab w:val="right" w:leader="dot" w:pos="9926"/>
            </w:tabs>
            <w:rPr>
              <w:rFonts w:asciiTheme="minorHAnsi" w:eastAsiaTheme="minorEastAsia" w:hAnsiTheme="minorHAnsi" w:cstheme="minorBidi"/>
              <w:noProof/>
              <w:color w:val="auto"/>
              <w:sz w:val="24"/>
              <w:lang w:val="en-US" w:eastAsia="en-US"/>
            </w:rPr>
          </w:pPr>
          <w:hyperlink w:anchor="_Toc213247482" w:history="1">
            <w:r w:rsidRPr="00305029">
              <w:rPr>
                <w:rStyle w:val="Hyperlink"/>
                <w:noProof/>
              </w:rPr>
              <w:t>6.</w:t>
            </w:r>
            <w:r>
              <w:rPr>
                <w:rFonts w:asciiTheme="minorHAnsi" w:eastAsiaTheme="minorEastAsia" w:hAnsiTheme="minorHAnsi" w:cstheme="minorBidi"/>
                <w:noProof/>
                <w:color w:val="auto"/>
                <w:sz w:val="24"/>
                <w:lang w:val="en-US" w:eastAsia="en-US"/>
              </w:rPr>
              <w:tab/>
            </w:r>
            <w:r w:rsidRPr="00305029">
              <w:rPr>
                <w:rStyle w:val="Hyperlink"/>
                <w:noProof/>
              </w:rPr>
              <w:t>Benchmark Performance Comparison</w:t>
            </w:r>
            <w:r>
              <w:rPr>
                <w:noProof/>
                <w:webHidden/>
              </w:rPr>
              <w:tab/>
            </w:r>
            <w:r>
              <w:rPr>
                <w:noProof/>
                <w:webHidden/>
              </w:rPr>
              <w:fldChar w:fldCharType="begin"/>
            </w:r>
            <w:r>
              <w:rPr>
                <w:noProof/>
                <w:webHidden/>
              </w:rPr>
              <w:instrText xml:space="preserve"> PAGEREF _Toc213247482 \h </w:instrText>
            </w:r>
            <w:r>
              <w:rPr>
                <w:noProof/>
                <w:webHidden/>
              </w:rPr>
            </w:r>
            <w:r>
              <w:rPr>
                <w:noProof/>
                <w:webHidden/>
              </w:rPr>
              <w:fldChar w:fldCharType="separate"/>
            </w:r>
            <w:r>
              <w:rPr>
                <w:noProof/>
                <w:webHidden/>
              </w:rPr>
              <w:t>14</w:t>
            </w:r>
            <w:r>
              <w:rPr>
                <w:noProof/>
                <w:webHidden/>
              </w:rPr>
              <w:fldChar w:fldCharType="end"/>
            </w:r>
          </w:hyperlink>
        </w:p>
        <w:p w14:paraId="424883F4" w14:textId="7ACEE306" w:rsidR="002D3A3A" w:rsidRDefault="002D3A3A">
          <w:pPr>
            <w:pStyle w:val="TOC1"/>
            <w:tabs>
              <w:tab w:val="left" w:pos="480"/>
              <w:tab w:val="right" w:leader="dot" w:pos="9926"/>
            </w:tabs>
            <w:rPr>
              <w:rFonts w:asciiTheme="minorHAnsi" w:eastAsiaTheme="minorEastAsia" w:hAnsiTheme="minorHAnsi" w:cstheme="minorBidi"/>
              <w:noProof/>
              <w:color w:val="auto"/>
              <w:sz w:val="24"/>
              <w:lang w:val="en-US" w:eastAsia="en-US"/>
            </w:rPr>
          </w:pPr>
          <w:hyperlink w:anchor="_Toc213247483" w:history="1">
            <w:r w:rsidRPr="00305029">
              <w:rPr>
                <w:rStyle w:val="Hyperlink"/>
                <w:noProof/>
              </w:rPr>
              <w:t>7.</w:t>
            </w:r>
            <w:r>
              <w:rPr>
                <w:rFonts w:asciiTheme="minorHAnsi" w:eastAsiaTheme="minorEastAsia" w:hAnsiTheme="minorHAnsi" w:cstheme="minorBidi"/>
                <w:noProof/>
                <w:color w:val="auto"/>
                <w:sz w:val="24"/>
                <w:lang w:val="en-US" w:eastAsia="en-US"/>
              </w:rPr>
              <w:tab/>
            </w:r>
            <w:r w:rsidRPr="00305029">
              <w:rPr>
                <w:rStyle w:val="Hyperlink"/>
                <w:noProof/>
              </w:rPr>
              <w:t>Conclusion</w:t>
            </w:r>
            <w:r>
              <w:rPr>
                <w:noProof/>
                <w:webHidden/>
              </w:rPr>
              <w:tab/>
            </w:r>
            <w:r>
              <w:rPr>
                <w:noProof/>
                <w:webHidden/>
              </w:rPr>
              <w:fldChar w:fldCharType="begin"/>
            </w:r>
            <w:r>
              <w:rPr>
                <w:noProof/>
                <w:webHidden/>
              </w:rPr>
              <w:instrText xml:space="preserve"> PAGEREF _Toc213247483 \h </w:instrText>
            </w:r>
            <w:r>
              <w:rPr>
                <w:noProof/>
                <w:webHidden/>
              </w:rPr>
            </w:r>
            <w:r>
              <w:rPr>
                <w:noProof/>
                <w:webHidden/>
              </w:rPr>
              <w:fldChar w:fldCharType="separate"/>
            </w:r>
            <w:r>
              <w:rPr>
                <w:noProof/>
                <w:webHidden/>
              </w:rPr>
              <w:t>16</w:t>
            </w:r>
            <w:r>
              <w:rPr>
                <w:noProof/>
                <w:webHidden/>
              </w:rPr>
              <w:fldChar w:fldCharType="end"/>
            </w:r>
          </w:hyperlink>
        </w:p>
        <w:p w14:paraId="365F7649" w14:textId="6DE85D14" w:rsidR="002D3A3A" w:rsidRDefault="002D3A3A">
          <w:r>
            <w:rPr>
              <w:b/>
              <w:bCs/>
              <w:noProof/>
            </w:rPr>
            <w:fldChar w:fldCharType="end"/>
          </w:r>
        </w:p>
      </w:sdtContent>
    </w:sdt>
    <w:p w14:paraId="3AB8CC18" w14:textId="140162DF" w:rsidR="002D3A3A" w:rsidRPr="002D3A3A" w:rsidRDefault="002D3A3A" w:rsidP="002D3A3A">
      <w:pPr>
        <w:pStyle w:val="TableofFigures"/>
        <w:tabs>
          <w:tab w:val="right" w:leader="dot" w:pos="9926"/>
        </w:tabs>
        <w:spacing w:line="360" w:lineRule="auto"/>
        <w:rPr>
          <w:b/>
          <w:sz w:val="32"/>
          <w:szCs w:val="32"/>
        </w:rPr>
      </w:pPr>
      <w:r w:rsidRPr="002D3A3A">
        <w:rPr>
          <w:b/>
          <w:sz w:val="32"/>
          <w:szCs w:val="32"/>
        </w:rPr>
        <w:t>Table of figures</w:t>
      </w:r>
    </w:p>
    <w:p w14:paraId="6EE57558" w14:textId="50432394" w:rsidR="002D3A3A" w:rsidRDefault="002D3A3A">
      <w:pPr>
        <w:pStyle w:val="TableofFigures"/>
        <w:tabs>
          <w:tab w:val="right" w:leader="dot" w:pos="9926"/>
        </w:tabs>
        <w:rPr>
          <w:noProof/>
        </w:rPr>
      </w:pPr>
      <w:r>
        <w:rPr>
          <w:b/>
          <w:sz w:val="24"/>
        </w:rPr>
        <w:fldChar w:fldCharType="begin"/>
      </w:r>
      <w:r>
        <w:rPr>
          <w:b/>
          <w:sz w:val="24"/>
        </w:rPr>
        <w:instrText xml:space="preserve"> TOC \h \z \c "Figure" </w:instrText>
      </w:r>
      <w:r>
        <w:rPr>
          <w:b/>
          <w:sz w:val="24"/>
        </w:rPr>
        <w:fldChar w:fldCharType="separate"/>
      </w:r>
      <w:hyperlink w:anchor="_Toc213247485" w:history="1">
        <w:r w:rsidRPr="004E7DDB">
          <w:rPr>
            <w:rStyle w:val="Hyperlink"/>
            <w:noProof/>
          </w:rPr>
          <w:t>Figure 1: VFIAX's investment style</w:t>
        </w:r>
        <w:r>
          <w:rPr>
            <w:noProof/>
            <w:webHidden/>
          </w:rPr>
          <w:tab/>
        </w:r>
        <w:r>
          <w:rPr>
            <w:noProof/>
            <w:webHidden/>
          </w:rPr>
          <w:fldChar w:fldCharType="begin"/>
        </w:r>
        <w:r>
          <w:rPr>
            <w:noProof/>
            <w:webHidden/>
          </w:rPr>
          <w:instrText xml:space="preserve"> PAGEREF _Toc213247485 \h </w:instrText>
        </w:r>
        <w:r>
          <w:rPr>
            <w:noProof/>
            <w:webHidden/>
          </w:rPr>
        </w:r>
        <w:r>
          <w:rPr>
            <w:noProof/>
            <w:webHidden/>
          </w:rPr>
          <w:fldChar w:fldCharType="separate"/>
        </w:r>
        <w:r>
          <w:rPr>
            <w:noProof/>
            <w:webHidden/>
          </w:rPr>
          <w:t>5</w:t>
        </w:r>
        <w:r>
          <w:rPr>
            <w:noProof/>
            <w:webHidden/>
          </w:rPr>
          <w:fldChar w:fldCharType="end"/>
        </w:r>
      </w:hyperlink>
    </w:p>
    <w:p w14:paraId="73D39452" w14:textId="5F90FFE5" w:rsidR="002D3A3A" w:rsidRDefault="002D3A3A">
      <w:pPr>
        <w:pStyle w:val="TableofFigures"/>
        <w:tabs>
          <w:tab w:val="right" w:leader="dot" w:pos="9926"/>
        </w:tabs>
        <w:rPr>
          <w:noProof/>
        </w:rPr>
      </w:pPr>
      <w:hyperlink w:anchor="_Toc213247486" w:history="1">
        <w:r w:rsidRPr="004E7DDB">
          <w:rPr>
            <w:rStyle w:val="Hyperlink"/>
            <w:noProof/>
          </w:rPr>
          <w:t>Figure 2: VFIAX's holdings</w:t>
        </w:r>
        <w:r>
          <w:rPr>
            <w:noProof/>
            <w:webHidden/>
          </w:rPr>
          <w:tab/>
        </w:r>
        <w:r>
          <w:rPr>
            <w:noProof/>
            <w:webHidden/>
          </w:rPr>
          <w:fldChar w:fldCharType="begin"/>
        </w:r>
        <w:r>
          <w:rPr>
            <w:noProof/>
            <w:webHidden/>
          </w:rPr>
          <w:instrText xml:space="preserve"> PAGEREF _Toc213247486 \h </w:instrText>
        </w:r>
        <w:r>
          <w:rPr>
            <w:noProof/>
            <w:webHidden/>
          </w:rPr>
        </w:r>
        <w:r>
          <w:rPr>
            <w:noProof/>
            <w:webHidden/>
          </w:rPr>
          <w:fldChar w:fldCharType="separate"/>
        </w:r>
        <w:r>
          <w:rPr>
            <w:noProof/>
            <w:webHidden/>
          </w:rPr>
          <w:t>8</w:t>
        </w:r>
        <w:r>
          <w:rPr>
            <w:noProof/>
            <w:webHidden/>
          </w:rPr>
          <w:fldChar w:fldCharType="end"/>
        </w:r>
      </w:hyperlink>
    </w:p>
    <w:p w14:paraId="16EE0899" w14:textId="5459FBCC" w:rsidR="002D3A3A" w:rsidRDefault="002D3A3A">
      <w:pPr>
        <w:pStyle w:val="TableofFigures"/>
        <w:tabs>
          <w:tab w:val="right" w:leader="dot" w:pos="9926"/>
        </w:tabs>
        <w:rPr>
          <w:noProof/>
        </w:rPr>
      </w:pPr>
      <w:hyperlink w:anchor="_Toc213247487" w:history="1">
        <w:r w:rsidRPr="004E7DDB">
          <w:rPr>
            <w:rStyle w:val="Hyperlink"/>
            <w:noProof/>
          </w:rPr>
          <w:t>Figure 3: VFIAX's historical performance</w:t>
        </w:r>
        <w:r>
          <w:rPr>
            <w:noProof/>
            <w:webHidden/>
          </w:rPr>
          <w:tab/>
        </w:r>
        <w:r>
          <w:rPr>
            <w:noProof/>
            <w:webHidden/>
          </w:rPr>
          <w:fldChar w:fldCharType="begin"/>
        </w:r>
        <w:r>
          <w:rPr>
            <w:noProof/>
            <w:webHidden/>
          </w:rPr>
          <w:instrText xml:space="preserve"> PAGEREF _Toc213247487 \h </w:instrText>
        </w:r>
        <w:r>
          <w:rPr>
            <w:noProof/>
            <w:webHidden/>
          </w:rPr>
        </w:r>
        <w:r>
          <w:rPr>
            <w:noProof/>
            <w:webHidden/>
          </w:rPr>
          <w:fldChar w:fldCharType="separate"/>
        </w:r>
        <w:r>
          <w:rPr>
            <w:noProof/>
            <w:webHidden/>
          </w:rPr>
          <w:t>10</w:t>
        </w:r>
        <w:r>
          <w:rPr>
            <w:noProof/>
            <w:webHidden/>
          </w:rPr>
          <w:fldChar w:fldCharType="end"/>
        </w:r>
      </w:hyperlink>
    </w:p>
    <w:p w14:paraId="44CCA455" w14:textId="5C3B1203" w:rsidR="002D3A3A" w:rsidRDefault="002D3A3A">
      <w:pPr>
        <w:pStyle w:val="TableofFigures"/>
        <w:tabs>
          <w:tab w:val="right" w:leader="dot" w:pos="9926"/>
        </w:tabs>
        <w:rPr>
          <w:noProof/>
        </w:rPr>
      </w:pPr>
      <w:hyperlink w:anchor="_Toc213247488" w:history="1">
        <w:r w:rsidRPr="004E7DDB">
          <w:rPr>
            <w:rStyle w:val="Hyperlink"/>
            <w:noProof/>
          </w:rPr>
          <w:t>Figure 4: VFIAX's return compared to the average large blend fund</w:t>
        </w:r>
        <w:r>
          <w:rPr>
            <w:noProof/>
            <w:webHidden/>
          </w:rPr>
          <w:tab/>
        </w:r>
        <w:r>
          <w:rPr>
            <w:noProof/>
            <w:webHidden/>
          </w:rPr>
          <w:fldChar w:fldCharType="begin"/>
        </w:r>
        <w:r>
          <w:rPr>
            <w:noProof/>
            <w:webHidden/>
          </w:rPr>
          <w:instrText xml:space="preserve"> PAGEREF _Toc213247488 \h </w:instrText>
        </w:r>
        <w:r>
          <w:rPr>
            <w:noProof/>
            <w:webHidden/>
          </w:rPr>
        </w:r>
        <w:r>
          <w:rPr>
            <w:noProof/>
            <w:webHidden/>
          </w:rPr>
          <w:fldChar w:fldCharType="separate"/>
        </w:r>
        <w:r>
          <w:rPr>
            <w:noProof/>
            <w:webHidden/>
          </w:rPr>
          <w:t>11</w:t>
        </w:r>
        <w:r>
          <w:rPr>
            <w:noProof/>
            <w:webHidden/>
          </w:rPr>
          <w:fldChar w:fldCharType="end"/>
        </w:r>
      </w:hyperlink>
    </w:p>
    <w:p w14:paraId="79C9270B" w14:textId="617BC624" w:rsidR="002D3A3A" w:rsidRDefault="002D3A3A">
      <w:pPr>
        <w:pStyle w:val="TableofFigures"/>
        <w:tabs>
          <w:tab w:val="right" w:leader="dot" w:pos="9926"/>
        </w:tabs>
        <w:rPr>
          <w:noProof/>
        </w:rPr>
      </w:pPr>
      <w:hyperlink w:anchor="_Toc213247489" w:history="1">
        <w:r w:rsidRPr="004E7DDB">
          <w:rPr>
            <w:rStyle w:val="Hyperlink"/>
            <w:noProof/>
          </w:rPr>
          <w:t>Figure 5: Historical volatility measures of benchmark indexes</w:t>
        </w:r>
        <w:r>
          <w:rPr>
            <w:noProof/>
            <w:webHidden/>
          </w:rPr>
          <w:tab/>
        </w:r>
        <w:r>
          <w:rPr>
            <w:noProof/>
            <w:webHidden/>
          </w:rPr>
          <w:fldChar w:fldCharType="begin"/>
        </w:r>
        <w:r>
          <w:rPr>
            <w:noProof/>
            <w:webHidden/>
          </w:rPr>
          <w:instrText xml:space="preserve"> PAGEREF _Toc213247489 \h </w:instrText>
        </w:r>
        <w:r>
          <w:rPr>
            <w:noProof/>
            <w:webHidden/>
          </w:rPr>
        </w:r>
        <w:r>
          <w:rPr>
            <w:noProof/>
            <w:webHidden/>
          </w:rPr>
          <w:fldChar w:fldCharType="separate"/>
        </w:r>
        <w:r>
          <w:rPr>
            <w:noProof/>
            <w:webHidden/>
          </w:rPr>
          <w:t>12</w:t>
        </w:r>
        <w:r>
          <w:rPr>
            <w:noProof/>
            <w:webHidden/>
          </w:rPr>
          <w:fldChar w:fldCharType="end"/>
        </w:r>
      </w:hyperlink>
    </w:p>
    <w:p w14:paraId="34EBCCDB" w14:textId="50014FC3" w:rsidR="002D3A3A" w:rsidRDefault="002D3A3A">
      <w:pPr>
        <w:pStyle w:val="TableofFigures"/>
        <w:tabs>
          <w:tab w:val="right" w:leader="dot" w:pos="9926"/>
        </w:tabs>
        <w:rPr>
          <w:noProof/>
        </w:rPr>
      </w:pPr>
      <w:hyperlink w:anchor="_Toc213247490" w:history="1">
        <w:r w:rsidRPr="004E7DDB">
          <w:rPr>
            <w:rStyle w:val="Hyperlink"/>
            <w:noProof/>
          </w:rPr>
          <w:t>Figure 6: VFIAX's performance statistics</w:t>
        </w:r>
        <w:r>
          <w:rPr>
            <w:noProof/>
            <w:webHidden/>
          </w:rPr>
          <w:tab/>
        </w:r>
        <w:r>
          <w:rPr>
            <w:noProof/>
            <w:webHidden/>
          </w:rPr>
          <w:fldChar w:fldCharType="begin"/>
        </w:r>
        <w:r>
          <w:rPr>
            <w:noProof/>
            <w:webHidden/>
          </w:rPr>
          <w:instrText xml:space="preserve"> PAGEREF _Toc213247490 \h </w:instrText>
        </w:r>
        <w:r>
          <w:rPr>
            <w:noProof/>
            <w:webHidden/>
          </w:rPr>
        </w:r>
        <w:r>
          <w:rPr>
            <w:noProof/>
            <w:webHidden/>
          </w:rPr>
          <w:fldChar w:fldCharType="separate"/>
        </w:r>
        <w:r>
          <w:rPr>
            <w:noProof/>
            <w:webHidden/>
          </w:rPr>
          <w:t>14</w:t>
        </w:r>
        <w:r>
          <w:rPr>
            <w:noProof/>
            <w:webHidden/>
          </w:rPr>
          <w:fldChar w:fldCharType="end"/>
        </w:r>
      </w:hyperlink>
    </w:p>
    <w:p w14:paraId="551EAAC6" w14:textId="6FE8C7BA" w:rsidR="002D3A3A" w:rsidRDefault="002D3A3A">
      <w:pPr>
        <w:pStyle w:val="TableofFigures"/>
        <w:tabs>
          <w:tab w:val="right" w:leader="dot" w:pos="9926"/>
        </w:tabs>
        <w:rPr>
          <w:noProof/>
        </w:rPr>
      </w:pPr>
      <w:hyperlink w:anchor="_Toc213247491" w:history="1">
        <w:r w:rsidRPr="004E7DDB">
          <w:rPr>
            <w:rStyle w:val="Hyperlink"/>
            <w:noProof/>
          </w:rPr>
          <w:t>Figure 7: VFIAX's performance compared to average large blend funds</w:t>
        </w:r>
        <w:r>
          <w:rPr>
            <w:noProof/>
            <w:webHidden/>
          </w:rPr>
          <w:tab/>
        </w:r>
        <w:r>
          <w:rPr>
            <w:noProof/>
            <w:webHidden/>
          </w:rPr>
          <w:fldChar w:fldCharType="begin"/>
        </w:r>
        <w:r>
          <w:rPr>
            <w:noProof/>
            <w:webHidden/>
          </w:rPr>
          <w:instrText xml:space="preserve"> PAGEREF _Toc213247491 \h </w:instrText>
        </w:r>
        <w:r>
          <w:rPr>
            <w:noProof/>
            <w:webHidden/>
          </w:rPr>
        </w:r>
        <w:r>
          <w:rPr>
            <w:noProof/>
            <w:webHidden/>
          </w:rPr>
          <w:fldChar w:fldCharType="separate"/>
        </w:r>
        <w:r>
          <w:rPr>
            <w:noProof/>
            <w:webHidden/>
          </w:rPr>
          <w:t>15</w:t>
        </w:r>
        <w:r>
          <w:rPr>
            <w:noProof/>
            <w:webHidden/>
          </w:rPr>
          <w:fldChar w:fldCharType="end"/>
        </w:r>
      </w:hyperlink>
    </w:p>
    <w:p w14:paraId="55A0E1AF" w14:textId="148A5722" w:rsidR="003F7AA0" w:rsidRDefault="002D3A3A" w:rsidP="005E523F">
      <w:pPr>
        <w:ind w:left="-5"/>
        <w:rPr>
          <w:b/>
          <w:sz w:val="24"/>
        </w:rPr>
      </w:pPr>
      <w:r>
        <w:rPr>
          <w:b/>
          <w:sz w:val="24"/>
        </w:rPr>
        <w:fldChar w:fldCharType="end"/>
      </w:r>
      <w:r w:rsidR="003F7AA0">
        <w:rPr>
          <w:b/>
          <w:sz w:val="24"/>
        </w:rPr>
        <w:br w:type="page"/>
      </w:r>
    </w:p>
    <w:p w14:paraId="2BFB8414" w14:textId="4F81060E" w:rsidR="003F7AA0" w:rsidRPr="003F7AA0" w:rsidRDefault="003F7AA0" w:rsidP="003F7AA0">
      <w:pPr>
        <w:pStyle w:val="Headings"/>
      </w:pPr>
      <w:bookmarkStart w:id="0" w:name="_Toc213247477"/>
      <w:r w:rsidRPr="003F7AA0">
        <w:t>Portfolio Objectives</w:t>
      </w:r>
      <w:bookmarkEnd w:id="0"/>
    </w:p>
    <w:p w14:paraId="68D67DF5" w14:textId="080E69BF" w:rsidR="00CA51AD" w:rsidRDefault="008703C1" w:rsidP="005E523F">
      <w:pPr>
        <w:ind w:left="-5"/>
      </w:pPr>
      <w:r>
        <w:rPr>
          <w:b/>
          <w:sz w:val="24"/>
        </w:rPr>
        <w:t xml:space="preserve">Vanguard 500 Index Fund Admiral Shares (VFIAX): </w:t>
      </w:r>
    </w:p>
    <w:p w14:paraId="4A89883A" w14:textId="6E503D8D" w:rsidR="00CA51AD" w:rsidRDefault="008703C1" w:rsidP="005E523F">
      <w:pPr>
        <w:ind w:left="-5" w:right="106" w:hanging="10"/>
        <w:jc w:val="both"/>
      </w:pPr>
      <w:r>
        <w:rPr>
          <w:sz w:val="24"/>
        </w:rPr>
        <w:t xml:space="preserve">The U.S. index fund VFIAX became available to investors when it launched in November 2000. The Admiral share class of VFIAX offers a 0.04% expense ratio but investors must deposit at least $3,000 to access this fund. </w:t>
      </w:r>
    </w:p>
    <w:p w14:paraId="2E246C53" w14:textId="44DF7FA7" w:rsidR="00CA51AD" w:rsidRDefault="008703C1" w:rsidP="005E523F">
      <w:pPr>
        <w:ind w:left="-5" w:hanging="10"/>
      </w:pPr>
      <w:r>
        <w:rPr>
          <w:b/>
          <w:sz w:val="24"/>
        </w:rPr>
        <w:t xml:space="preserve">Investment </w:t>
      </w:r>
      <w:r w:rsidR="007743F3">
        <w:rPr>
          <w:b/>
          <w:sz w:val="24"/>
        </w:rPr>
        <w:t>o</w:t>
      </w:r>
      <w:r>
        <w:rPr>
          <w:b/>
          <w:sz w:val="24"/>
        </w:rPr>
        <w:t xml:space="preserve">bjective: </w:t>
      </w:r>
    </w:p>
    <w:p w14:paraId="6314FAE8" w14:textId="6A89BFEC" w:rsidR="00CA51AD" w:rsidRDefault="008703C1" w:rsidP="005E523F">
      <w:pPr>
        <w:ind w:left="-5" w:right="106" w:hanging="10"/>
        <w:jc w:val="both"/>
      </w:pPr>
      <w:r>
        <w:rPr>
          <w:sz w:val="24"/>
        </w:rPr>
        <w:t xml:space="preserve">The fund operates with a single purpose to duplicate the performance of the S&amp;P 500 Index. The fund achieves its goal by maintaining identical stock holdings at index weights which provides investors with U.S. market exposure through established companies without market prediction attempts. </w:t>
      </w:r>
    </w:p>
    <w:p w14:paraId="5BE77AE8" w14:textId="60CEB33F" w:rsidR="00CA51AD" w:rsidRDefault="008703C1" w:rsidP="005E523F">
      <w:pPr>
        <w:ind w:left="-5" w:hanging="10"/>
      </w:pPr>
      <w:r>
        <w:rPr>
          <w:b/>
          <w:sz w:val="24"/>
        </w:rPr>
        <w:t xml:space="preserve">Benchmark: </w:t>
      </w:r>
    </w:p>
    <w:p w14:paraId="209FC711" w14:textId="7F33F177" w:rsidR="00CA51AD" w:rsidRDefault="008703C1" w:rsidP="005E523F">
      <w:pPr>
        <w:ind w:left="-5" w:right="106" w:hanging="10"/>
        <w:jc w:val="both"/>
      </w:pPr>
      <w:r>
        <w:rPr>
          <w:sz w:val="24"/>
        </w:rPr>
        <w:t xml:space="preserve">The fund tracks the S&amp;P 500 Index which contains approximately 500 of the biggest publicly traded U.S. companies. The S&amp;P 500 Index which S&amp;P Dow Jones Indices maintains serves as the main performance indicator for large-cap U.S. equity investments because it represents 80% of the total U.S. stock market value. </w:t>
      </w:r>
    </w:p>
    <w:p w14:paraId="3FF4D401" w14:textId="0F0620B2" w:rsidR="00CA51AD" w:rsidRDefault="008703C1" w:rsidP="005E523F">
      <w:pPr>
        <w:ind w:left="-5" w:hanging="10"/>
      </w:pPr>
      <w:r>
        <w:rPr>
          <w:b/>
          <w:sz w:val="24"/>
        </w:rPr>
        <w:t xml:space="preserve">Why </w:t>
      </w:r>
      <w:proofErr w:type="gramStart"/>
      <w:r w:rsidR="007743F3">
        <w:rPr>
          <w:b/>
          <w:sz w:val="24"/>
        </w:rPr>
        <w:t>t</w:t>
      </w:r>
      <w:r>
        <w:rPr>
          <w:b/>
          <w:sz w:val="24"/>
        </w:rPr>
        <w:t>his</w:t>
      </w:r>
      <w:proofErr w:type="gramEnd"/>
      <w:r>
        <w:rPr>
          <w:b/>
          <w:sz w:val="24"/>
        </w:rPr>
        <w:t xml:space="preserve"> </w:t>
      </w:r>
      <w:r w:rsidR="007743F3">
        <w:rPr>
          <w:b/>
          <w:sz w:val="24"/>
        </w:rPr>
        <w:t>b</w:t>
      </w:r>
      <w:r>
        <w:rPr>
          <w:b/>
          <w:sz w:val="24"/>
        </w:rPr>
        <w:t xml:space="preserve">enchmark </w:t>
      </w:r>
      <w:proofErr w:type="gramStart"/>
      <w:r w:rsidR="007743F3">
        <w:rPr>
          <w:b/>
          <w:sz w:val="24"/>
        </w:rPr>
        <w:t>m</w:t>
      </w:r>
      <w:r>
        <w:rPr>
          <w:b/>
          <w:sz w:val="24"/>
        </w:rPr>
        <w:t>akes</w:t>
      </w:r>
      <w:proofErr w:type="gramEnd"/>
      <w:r>
        <w:rPr>
          <w:b/>
          <w:sz w:val="24"/>
        </w:rPr>
        <w:t xml:space="preserve"> </w:t>
      </w:r>
      <w:r w:rsidR="007743F3">
        <w:rPr>
          <w:b/>
          <w:sz w:val="24"/>
        </w:rPr>
        <w:t>s</w:t>
      </w:r>
      <w:r>
        <w:rPr>
          <w:b/>
          <w:sz w:val="24"/>
        </w:rPr>
        <w:t xml:space="preserve">ense: </w:t>
      </w:r>
    </w:p>
    <w:p w14:paraId="0045D090" w14:textId="7FC56D31" w:rsidR="003F7AA0" w:rsidRPr="00C44043" w:rsidRDefault="008703C1" w:rsidP="00C44043">
      <w:pPr>
        <w:ind w:left="-5" w:right="106" w:hanging="10"/>
        <w:jc w:val="both"/>
      </w:pPr>
      <w:r>
        <w:rPr>
          <w:sz w:val="24"/>
        </w:rPr>
        <w:t xml:space="preserve">The S&amp;P 500 serves as the suitable benchmark for VFIAX because the fund exists to duplicate this index exactly. The </w:t>
      </w:r>
      <w:proofErr w:type="gramStart"/>
      <w:r>
        <w:rPr>
          <w:sz w:val="24"/>
        </w:rPr>
        <w:t>fund</w:t>
      </w:r>
      <w:proofErr w:type="gramEnd"/>
      <w:r>
        <w:rPr>
          <w:sz w:val="24"/>
        </w:rPr>
        <w:t xml:space="preserve"> and index use market-capitalization weighting which results in larger companies holding greater weight in the investment portfolio.</w:t>
      </w:r>
      <w:r>
        <w:rPr>
          <w:sz w:val="24"/>
        </w:rPr>
        <w:t xml:space="preserve"> The fund achieves its purpose when its performance matches the S&amp;P 500 Index because this indicates successful execution of its investment strategy. </w:t>
      </w:r>
    </w:p>
    <w:p w14:paraId="5CD446EB" w14:textId="77777777" w:rsidR="00C44043" w:rsidRDefault="00C44043" w:rsidP="005E523F">
      <w:pPr>
        <w:ind w:left="-5" w:hanging="10"/>
        <w:rPr>
          <w:b/>
          <w:sz w:val="24"/>
        </w:rPr>
      </w:pPr>
    </w:p>
    <w:p w14:paraId="7649BFAB" w14:textId="77777777" w:rsidR="00C44043" w:rsidRDefault="00C44043" w:rsidP="005E523F">
      <w:pPr>
        <w:ind w:left="-5" w:hanging="10"/>
        <w:rPr>
          <w:b/>
          <w:sz w:val="24"/>
        </w:rPr>
      </w:pPr>
    </w:p>
    <w:p w14:paraId="0797C408" w14:textId="56B1990F" w:rsidR="00CA51AD" w:rsidRDefault="008703C1" w:rsidP="005E523F">
      <w:pPr>
        <w:ind w:left="-5" w:hanging="10"/>
      </w:pPr>
      <w:r>
        <w:rPr>
          <w:b/>
          <w:sz w:val="24"/>
        </w:rPr>
        <w:t xml:space="preserve">Strategy: </w:t>
      </w:r>
    </w:p>
    <w:p w14:paraId="64480A1F" w14:textId="412D7369" w:rsidR="00CA51AD" w:rsidRDefault="008703C1" w:rsidP="005E523F">
      <w:pPr>
        <w:ind w:left="-5" w:right="106"/>
        <w:jc w:val="both"/>
      </w:pPr>
      <w:r>
        <w:rPr>
          <w:sz w:val="24"/>
        </w:rPr>
        <w:t xml:space="preserve">The fund invests in all S&amp;P 500 component stocks through market value-based stock acquisitions. The fund operates with a strategy that avoids market timing and stock selection for individual companies. </w:t>
      </w:r>
      <w:r w:rsidR="00762D24">
        <w:rPr>
          <w:sz w:val="24"/>
        </w:rPr>
        <w:t>It tries to maintain</w:t>
      </w:r>
      <w:r>
        <w:rPr>
          <w:sz w:val="24"/>
        </w:rPr>
        <w:t xml:space="preserve"> identical returns to the index through the reduction of tracking error which represents the difference between fund performance and benchmark performance. </w:t>
      </w:r>
    </w:p>
    <w:p w14:paraId="67B40979" w14:textId="00DC5A6D" w:rsidR="003E5C62" w:rsidRPr="003E5C62" w:rsidRDefault="008703C1" w:rsidP="005E523F">
      <w:pPr>
        <w:ind w:left="-5" w:right="106" w:hanging="10"/>
        <w:jc w:val="both"/>
      </w:pPr>
      <w:r>
        <w:rPr>
          <w:sz w:val="24"/>
        </w:rPr>
        <w:t xml:space="preserve">The investment portfolio distributes its assets across all essential business sectors including technology and healthcare and </w:t>
      </w:r>
      <w:proofErr w:type="gramStart"/>
      <w:r>
        <w:rPr>
          <w:sz w:val="24"/>
        </w:rPr>
        <w:t>financials</w:t>
      </w:r>
      <w:proofErr w:type="gramEnd"/>
      <w:r>
        <w:rPr>
          <w:sz w:val="24"/>
        </w:rPr>
        <w:t xml:space="preserve"> and consumer goods and industrials and additional sectors. The fund performs periodic updates to its holdings when the index experiences changes through additions or removals of companies. The fund performs portfolio updates only occasionally which results in a 2-3% annual turnover rate. The fund maintains low trading activity which results in reduced expenses and lower tax liabilities for investors. </w:t>
      </w:r>
    </w:p>
    <w:p w14:paraId="2B485384" w14:textId="0664E50E" w:rsidR="00CA51AD" w:rsidRDefault="008703C1" w:rsidP="005E523F">
      <w:pPr>
        <w:ind w:left="-5"/>
      </w:pPr>
      <w:r>
        <w:rPr>
          <w:b/>
          <w:sz w:val="24"/>
        </w:rPr>
        <w:t>Investment Policy Statement</w:t>
      </w:r>
      <w:r w:rsidR="007743F3">
        <w:rPr>
          <w:b/>
          <w:sz w:val="24"/>
        </w:rPr>
        <w:t xml:space="preserve"> (IPS)</w:t>
      </w:r>
      <w:r>
        <w:rPr>
          <w:b/>
          <w:sz w:val="24"/>
        </w:rPr>
        <w:t xml:space="preserve">: </w:t>
      </w:r>
    </w:p>
    <w:p w14:paraId="10B8B7B6" w14:textId="50B2D6F6" w:rsidR="00CA51AD" w:rsidRDefault="008703C1" w:rsidP="005E523F">
      <w:r>
        <w:rPr>
          <w:sz w:val="24"/>
        </w:rPr>
        <w:t xml:space="preserve">The </w:t>
      </w:r>
      <w:r w:rsidR="00762D24">
        <w:rPr>
          <w:sz w:val="24"/>
        </w:rPr>
        <w:t>IPS</w:t>
      </w:r>
      <w:r>
        <w:rPr>
          <w:sz w:val="24"/>
        </w:rPr>
        <w:t xml:space="preserve"> for VFIAX remains unavailable from Vanguard although investors can understand the fund's operational framework through its prospectus and investment strategy. The fund exists to serve investors who want to invest in U.S. large-cap stocks without focusing on </w:t>
      </w:r>
      <w:proofErr w:type="gramStart"/>
      <w:r>
        <w:rPr>
          <w:sz w:val="24"/>
        </w:rPr>
        <w:t>particular market</w:t>
      </w:r>
      <w:proofErr w:type="gramEnd"/>
      <w:r>
        <w:rPr>
          <w:sz w:val="24"/>
        </w:rPr>
        <w:t xml:space="preserve"> segments or investment approaches. </w:t>
      </w:r>
      <w:r w:rsidR="007F0212">
        <w:rPr>
          <w:sz w:val="24"/>
        </w:rPr>
        <w:t>It</w:t>
      </w:r>
      <w:r>
        <w:rPr>
          <w:sz w:val="24"/>
        </w:rPr>
        <w:t xml:space="preserve"> operates through full replication by holding all S&amp;P 500 Index components at their corresponding weights. </w:t>
      </w:r>
      <w:r>
        <w:rPr>
          <w:sz w:val="24"/>
        </w:rPr>
        <w:t xml:space="preserve">The Admiral share class of VFIAX demands a $3,000 initial investment while offering a 0.04% expense ratio to demonstrate Vanguard's dedication to cost reduction. The fund maintains low portfolio turnover at 2-3% per year which helps minimize trading expenses and </w:t>
      </w:r>
      <w:proofErr w:type="gramStart"/>
      <w:r>
        <w:rPr>
          <w:sz w:val="24"/>
        </w:rPr>
        <w:t>generates</w:t>
      </w:r>
      <w:proofErr w:type="gramEnd"/>
      <w:r>
        <w:rPr>
          <w:sz w:val="24"/>
        </w:rPr>
        <w:t xml:space="preserve"> better tax performance for shareholders.</w:t>
      </w:r>
      <w:r>
        <w:t xml:space="preserve"> </w:t>
      </w:r>
    </w:p>
    <w:p w14:paraId="196C82E8" w14:textId="75985C69" w:rsidR="00CA51AD" w:rsidRDefault="008703C1" w:rsidP="005E523F">
      <w:pPr>
        <w:ind w:left="-5"/>
      </w:pPr>
      <w:r>
        <w:rPr>
          <w:b/>
          <w:sz w:val="24"/>
        </w:rPr>
        <w:t xml:space="preserve">Investment </w:t>
      </w:r>
      <w:r w:rsidR="007743F3">
        <w:rPr>
          <w:b/>
          <w:sz w:val="24"/>
        </w:rPr>
        <w:t>s</w:t>
      </w:r>
      <w:r>
        <w:rPr>
          <w:b/>
          <w:sz w:val="24"/>
        </w:rPr>
        <w:t xml:space="preserve">tyle: </w:t>
      </w:r>
    </w:p>
    <w:p w14:paraId="72E6C430" w14:textId="77777777" w:rsidR="00CA51AD" w:rsidRPr="00012A03" w:rsidRDefault="008703C1" w:rsidP="005E523F">
      <w:pPr>
        <w:ind w:left="-5" w:right="108"/>
        <w:rPr>
          <w:sz w:val="24"/>
        </w:rPr>
      </w:pPr>
      <w:r w:rsidRPr="00012A03">
        <w:rPr>
          <w:sz w:val="24"/>
        </w:rPr>
        <w:t xml:space="preserve">VFIAX follows a passive investment approach focused on large-cap U.S. equities. As shown in the </w:t>
      </w:r>
    </w:p>
    <w:p w14:paraId="1A015156" w14:textId="6C5AAA8D" w:rsidR="00CA51AD" w:rsidRPr="00012A03" w:rsidRDefault="00EA168F" w:rsidP="005E523F">
      <w:pPr>
        <w:ind w:left="-5" w:right="108"/>
        <w:rPr>
          <w:sz w:val="24"/>
        </w:rPr>
      </w:pPr>
      <w:r w:rsidRPr="00012A03">
        <w:rPr>
          <w:noProof/>
          <w:sz w:val="24"/>
        </w:rPr>
        <mc:AlternateContent>
          <mc:Choice Requires="wps">
            <w:drawing>
              <wp:anchor distT="0" distB="0" distL="114300" distR="114300" simplePos="0" relativeHeight="251663872" behindDoc="0" locked="0" layoutInCell="1" allowOverlap="1" wp14:anchorId="6D4DD842" wp14:editId="28CD8601">
                <wp:simplePos x="0" y="0"/>
                <wp:positionH relativeFrom="column">
                  <wp:posOffset>3533775</wp:posOffset>
                </wp:positionH>
                <wp:positionV relativeFrom="paragraph">
                  <wp:posOffset>3548380</wp:posOffset>
                </wp:positionV>
                <wp:extent cx="3175635" cy="635"/>
                <wp:effectExtent l="0" t="0" r="0" b="0"/>
                <wp:wrapSquare wrapText="bothSides"/>
                <wp:docPr id="1290267782" name="Text Box 1"/>
                <wp:cNvGraphicFramePr/>
                <a:graphic xmlns:a="http://schemas.openxmlformats.org/drawingml/2006/main">
                  <a:graphicData uri="http://schemas.microsoft.com/office/word/2010/wordprocessingShape">
                    <wps:wsp>
                      <wps:cNvSpPr txBox="1"/>
                      <wps:spPr>
                        <a:xfrm>
                          <a:off x="0" y="0"/>
                          <a:ext cx="3175635" cy="635"/>
                        </a:xfrm>
                        <a:prstGeom prst="rect">
                          <a:avLst/>
                        </a:prstGeom>
                        <a:solidFill>
                          <a:prstClr val="white"/>
                        </a:solidFill>
                        <a:ln>
                          <a:noFill/>
                        </a:ln>
                      </wps:spPr>
                      <wps:txbx>
                        <w:txbxContent>
                          <w:p w14:paraId="20C1C004" w14:textId="68DA6155" w:rsidR="00EA168F" w:rsidRPr="00AA66E7" w:rsidRDefault="00EA168F" w:rsidP="00D403CF">
                            <w:pPr>
                              <w:pStyle w:val="Caption"/>
                              <w:jc w:val="center"/>
                              <w:rPr>
                                <w:noProof/>
                                <w:color w:val="000000"/>
                                <w:sz w:val="22"/>
                              </w:rPr>
                            </w:pPr>
                            <w:bookmarkStart w:id="1" w:name="_Toc213247485"/>
                            <w:r>
                              <w:t xml:space="preserve">Figure </w:t>
                            </w:r>
                            <w:r>
                              <w:fldChar w:fldCharType="begin"/>
                            </w:r>
                            <w:r>
                              <w:instrText xml:space="preserve"> SEQ Figure \* ARABIC </w:instrText>
                            </w:r>
                            <w:r>
                              <w:fldChar w:fldCharType="separate"/>
                            </w:r>
                            <w:r w:rsidR="00D47095">
                              <w:rPr>
                                <w:noProof/>
                              </w:rPr>
                              <w:t>1</w:t>
                            </w:r>
                            <w:r>
                              <w:fldChar w:fldCharType="end"/>
                            </w:r>
                            <w:r>
                              <w:t>: VFIAX's investment style</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DD842" id="Text Box 1" o:spid="_x0000_s1027" type="#_x0000_t202" style="position:absolute;left:0;text-align:left;margin-left:278.25pt;margin-top:279.4pt;width:250.05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" stroked="f">
                <v:textbox style="mso-fit-shape-to-text:t" inset="0,0,0,0">
                  <w:txbxContent>
                    <w:p w14:paraId="20C1C004" w14:textId="68DA6155" w:rsidR="00EA168F" w:rsidRPr="00AA66E7" w:rsidRDefault="00EA168F" w:rsidP="00D403CF">
                      <w:pPr>
                        <w:pStyle w:val="Caption"/>
                        <w:jc w:val="center"/>
                        <w:rPr>
                          <w:noProof/>
                          <w:color w:val="000000"/>
                          <w:sz w:val="22"/>
                        </w:rPr>
                      </w:pPr>
                      <w:bookmarkStart w:id="2" w:name="_Toc213247485"/>
                      <w:r>
                        <w:t xml:space="preserve">Figure </w:t>
                      </w:r>
                      <w:r>
                        <w:fldChar w:fldCharType="begin"/>
                      </w:r>
                      <w:r>
                        <w:instrText xml:space="preserve"> SEQ Figure \* ARABIC </w:instrText>
                      </w:r>
                      <w:r>
                        <w:fldChar w:fldCharType="separate"/>
                      </w:r>
                      <w:r w:rsidR="00D47095">
                        <w:rPr>
                          <w:noProof/>
                        </w:rPr>
                        <w:t>1</w:t>
                      </w:r>
                      <w:r>
                        <w:fldChar w:fldCharType="end"/>
                      </w:r>
                      <w:r>
                        <w:t>: VFIAX's investment style</w:t>
                      </w:r>
                      <w:bookmarkEnd w:id="2"/>
                    </w:p>
                  </w:txbxContent>
                </v:textbox>
                <w10:wrap type="square"/>
              </v:shape>
            </w:pict>
          </mc:Fallback>
        </mc:AlternateContent>
      </w:r>
      <w:r w:rsidR="008703C1" w:rsidRPr="00012A03">
        <w:rPr>
          <w:noProof/>
          <w:sz w:val="24"/>
        </w:rPr>
        <w:drawing>
          <wp:anchor distT="0" distB="0" distL="114300" distR="114300" simplePos="0" relativeHeight="251642368" behindDoc="0" locked="0" layoutInCell="1" allowOverlap="0" wp14:anchorId="7C381C89" wp14:editId="0FAB9F98">
            <wp:simplePos x="0" y="0"/>
            <wp:positionH relativeFrom="column">
              <wp:posOffset>3533775</wp:posOffset>
            </wp:positionH>
            <wp:positionV relativeFrom="paragraph">
              <wp:posOffset>172226</wp:posOffset>
            </wp:positionV>
            <wp:extent cx="3176016" cy="3319272"/>
            <wp:effectExtent l="0" t="0" r="0" b="0"/>
            <wp:wrapSquare wrapText="bothSides"/>
            <wp:docPr id="33554" name="Picture 33554"/>
            <wp:cNvGraphicFramePr/>
            <a:graphic xmlns:a="http://schemas.openxmlformats.org/drawingml/2006/main">
              <a:graphicData uri="http://schemas.openxmlformats.org/drawingml/2006/picture">
                <pic:pic xmlns:pic="http://schemas.openxmlformats.org/drawingml/2006/picture">
                  <pic:nvPicPr>
                    <pic:cNvPr id="33554" name="Picture 33554"/>
                    <pic:cNvPicPr/>
                  </pic:nvPicPr>
                  <pic:blipFill>
                    <a:blip r:embed="rId11"/>
                    <a:stretch>
                      <a:fillRect/>
                    </a:stretch>
                  </pic:blipFill>
                  <pic:spPr>
                    <a:xfrm>
                      <a:off x="0" y="0"/>
                      <a:ext cx="3176016" cy="3319272"/>
                    </a:xfrm>
                    <a:prstGeom prst="rect">
                      <a:avLst/>
                    </a:prstGeom>
                  </pic:spPr>
                </pic:pic>
              </a:graphicData>
            </a:graphic>
          </wp:anchor>
        </w:drawing>
      </w:r>
      <w:r w:rsidR="008703C1" w:rsidRPr="00012A03">
        <w:rPr>
          <w:sz w:val="24"/>
        </w:rPr>
        <w:t xml:space="preserve">Morningstar style box above, the fund falls squarely in the "large blend" category, meaning it holds a mix of both growth-oriented and value-oriented stocks without favoring either style. </w:t>
      </w:r>
    </w:p>
    <w:p w14:paraId="3F9A194C" w14:textId="77777777" w:rsidR="00CA51AD" w:rsidRPr="00012A03" w:rsidRDefault="008703C1" w:rsidP="005E523F">
      <w:pPr>
        <w:ind w:left="-5" w:right="108"/>
        <w:rPr>
          <w:sz w:val="24"/>
        </w:rPr>
      </w:pPr>
      <w:r w:rsidRPr="00012A03">
        <w:rPr>
          <w:sz w:val="24"/>
        </w:rPr>
        <w:t xml:space="preserve">The fund's growth exposure comes from companies like Apple, NVIDIA, and Amazon firms characterized by high earnings growth and premium valuations. On the value side, the portfolio includes established companies such as Johnson &amp; Johnson, Procter &amp; Gamble, and Exxon Mobil, which typically trade at lower price multiples and pay consistent dividends. Because the S&amp;P 500 naturally includes both types of stocks weighted by market value, VFIAX captures this blend automatically without any distinct </w:t>
      </w:r>
      <w:proofErr w:type="gramStart"/>
      <w:r w:rsidRPr="00012A03">
        <w:rPr>
          <w:sz w:val="24"/>
        </w:rPr>
        <w:t>positions..</w:t>
      </w:r>
      <w:proofErr w:type="gramEnd"/>
      <w:r w:rsidRPr="00012A03">
        <w:rPr>
          <w:sz w:val="24"/>
        </w:rPr>
        <w:t xml:space="preserve"> </w:t>
      </w:r>
    </w:p>
    <w:p w14:paraId="67FF70DA" w14:textId="7A6A8926" w:rsidR="00CA51AD" w:rsidRDefault="008703C1" w:rsidP="005E523F">
      <w:pPr>
        <w:ind w:left="-5"/>
      </w:pPr>
      <w:r>
        <w:rPr>
          <w:b/>
          <w:sz w:val="24"/>
        </w:rPr>
        <w:t xml:space="preserve">Investment </w:t>
      </w:r>
      <w:r w:rsidR="007743F3">
        <w:rPr>
          <w:b/>
          <w:sz w:val="24"/>
        </w:rPr>
        <w:t>p</w:t>
      </w:r>
      <w:r>
        <w:rPr>
          <w:b/>
          <w:sz w:val="24"/>
        </w:rPr>
        <w:t xml:space="preserve">rocess: Identifying, Selecting, and Monitoring </w:t>
      </w:r>
      <w:r w:rsidR="007743F3">
        <w:rPr>
          <w:b/>
          <w:sz w:val="24"/>
        </w:rPr>
        <w:t>s</w:t>
      </w:r>
      <w:r>
        <w:rPr>
          <w:b/>
          <w:sz w:val="24"/>
        </w:rPr>
        <w:t xml:space="preserve">ecurities </w:t>
      </w:r>
    </w:p>
    <w:p w14:paraId="4D994897" w14:textId="77777777" w:rsidR="00CA51AD" w:rsidRPr="00012A03" w:rsidRDefault="008703C1" w:rsidP="005E523F">
      <w:pPr>
        <w:ind w:left="-5" w:right="108"/>
        <w:rPr>
          <w:sz w:val="24"/>
        </w:rPr>
      </w:pPr>
      <w:r w:rsidRPr="00012A03">
        <w:rPr>
          <w:sz w:val="24"/>
        </w:rPr>
        <w:t xml:space="preserve">VFIAX doesn't pick stocks, it follows a rules-based process determined entirely by the S&amp;P Dow Jones Index Committee. The Committee decides which companies qualify for the S&amp;P 500 based on specific criteria: </w:t>
      </w:r>
    </w:p>
    <w:p w14:paraId="0C82AA31" w14:textId="77777777" w:rsidR="00CA51AD" w:rsidRPr="00012A03" w:rsidRDefault="008703C1" w:rsidP="005E523F">
      <w:pPr>
        <w:numPr>
          <w:ilvl w:val="0"/>
          <w:numId w:val="1"/>
        </w:numPr>
        <w:ind w:right="108" w:hanging="360"/>
        <w:rPr>
          <w:sz w:val="24"/>
        </w:rPr>
      </w:pPr>
      <w:r w:rsidRPr="00012A03">
        <w:rPr>
          <w:sz w:val="24"/>
        </w:rPr>
        <w:t xml:space="preserve">The company must be based in the U.S. and have its primary listing on a U.S. exchange </w:t>
      </w:r>
    </w:p>
    <w:p w14:paraId="0BC7CB68" w14:textId="77777777" w:rsidR="00CA51AD" w:rsidRPr="00012A03" w:rsidRDefault="008703C1" w:rsidP="005E523F">
      <w:pPr>
        <w:numPr>
          <w:ilvl w:val="0"/>
          <w:numId w:val="1"/>
        </w:numPr>
        <w:ind w:right="108" w:hanging="360"/>
        <w:rPr>
          <w:sz w:val="24"/>
        </w:rPr>
      </w:pPr>
      <w:r w:rsidRPr="00012A03">
        <w:rPr>
          <w:sz w:val="24"/>
        </w:rPr>
        <w:t xml:space="preserve">Market capitalization must exceed approximately $13 billion (the exact threshold adjusts with market conditions) </w:t>
      </w:r>
    </w:p>
    <w:p w14:paraId="0AD311B4" w14:textId="77777777" w:rsidR="00CA51AD" w:rsidRPr="00012A03" w:rsidRDefault="008703C1" w:rsidP="005E523F">
      <w:pPr>
        <w:numPr>
          <w:ilvl w:val="0"/>
          <w:numId w:val="1"/>
        </w:numPr>
        <w:ind w:right="108" w:hanging="360"/>
        <w:rPr>
          <w:sz w:val="24"/>
        </w:rPr>
      </w:pPr>
      <w:r w:rsidRPr="00012A03">
        <w:rPr>
          <w:sz w:val="24"/>
        </w:rPr>
        <w:t xml:space="preserve">The company must report positive GAAP earnings in both the most recent quarter and over the past four quarters </w:t>
      </w:r>
    </w:p>
    <w:p w14:paraId="5E5ACD5A" w14:textId="77777777" w:rsidR="00CA51AD" w:rsidRPr="00012A03" w:rsidRDefault="008703C1" w:rsidP="005E523F">
      <w:pPr>
        <w:numPr>
          <w:ilvl w:val="0"/>
          <w:numId w:val="1"/>
        </w:numPr>
        <w:ind w:right="108" w:hanging="360"/>
        <w:rPr>
          <w:sz w:val="24"/>
        </w:rPr>
      </w:pPr>
      <w:r w:rsidRPr="00012A03">
        <w:rPr>
          <w:sz w:val="24"/>
        </w:rPr>
        <w:t xml:space="preserve">At least 50% of shares must be available for public trading (adequate liquidity and float) </w:t>
      </w:r>
    </w:p>
    <w:p w14:paraId="5C84E0EB" w14:textId="77777777" w:rsidR="00CA51AD" w:rsidRPr="00012A03" w:rsidRDefault="008703C1" w:rsidP="005E523F">
      <w:pPr>
        <w:ind w:left="-5" w:right="108"/>
        <w:rPr>
          <w:sz w:val="24"/>
        </w:rPr>
      </w:pPr>
      <w:r w:rsidRPr="00012A03">
        <w:rPr>
          <w:sz w:val="24"/>
        </w:rPr>
        <w:t xml:space="preserve">Once the index composition is set, Vanguard's job is simply to replicate it. The fund holds all 500 stocks in proportion to their float-adjusted market values, with no discretionary </w:t>
      </w:r>
      <w:proofErr w:type="gramStart"/>
      <w:r w:rsidRPr="00012A03">
        <w:rPr>
          <w:sz w:val="24"/>
        </w:rPr>
        <w:t>decisions</w:t>
      </w:r>
      <w:proofErr w:type="gramEnd"/>
      <w:r w:rsidRPr="00012A03">
        <w:rPr>
          <w:sz w:val="24"/>
        </w:rPr>
        <w:t xml:space="preserve"> by portfolio managers. Consistent monitoring tracks any changes in index weights due to price movements, corporate actions, or share issuances, and the fund adjusts accordingly. </w:t>
      </w:r>
    </w:p>
    <w:p w14:paraId="27A7EA1A" w14:textId="7E2B357E" w:rsidR="00CA51AD" w:rsidRPr="00012A03" w:rsidRDefault="008703C1" w:rsidP="005E523F">
      <w:pPr>
        <w:ind w:left="-5"/>
        <w:rPr>
          <w:sz w:val="24"/>
        </w:rPr>
      </w:pPr>
      <w:r w:rsidRPr="00012A03">
        <w:rPr>
          <w:b/>
          <w:sz w:val="24"/>
        </w:rPr>
        <w:t xml:space="preserve">Buy/Sell </w:t>
      </w:r>
      <w:r w:rsidR="007743F3" w:rsidRPr="00012A03">
        <w:rPr>
          <w:b/>
          <w:sz w:val="24"/>
        </w:rPr>
        <w:t>d</w:t>
      </w:r>
      <w:r w:rsidRPr="00012A03">
        <w:rPr>
          <w:b/>
          <w:sz w:val="24"/>
        </w:rPr>
        <w:t xml:space="preserve">iscipline: </w:t>
      </w:r>
    </w:p>
    <w:p w14:paraId="6FCC9EE4" w14:textId="77777777" w:rsidR="00CA51AD" w:rsidRPr="00012A03" w:rsidRDefault="008703C1" w:rsidP="005E523F">
      <w:pPr>
        <w:ind w:left="-5" w:right="108"/>
        <w:rPr>
          <w:sz w:val="24"/>
        </w:rPr>
      </w:pPr>
      <w:r w:rsidRPr="00012A03">
        <w:rPr>
          <w:sz w:val="24"/>
        </w:rPr>
        <w:t xml:space="preserve">VFIAX's trading decisions follow mechanical rules tied entirely to S&amp;P 500 index changes, with no room for manager judgment or market timing. </w:t>
      </w:r>
    </w:p>
    <w:p w14:paraId="17F87A8E" w14:textId="245ADD60" w:rsidR="00CA51AD" w:rsidRPr="00012A03" w:rsidRDefault="008703C1" w:rsidP="005E523F">
      <w:pPr>
        <w:ind w:left="-5" w:right="108"/>
        <w:rPr>
          <w:sz w:val="24"/>
        </w:rPr>
      </w:pPr>
      <w:r w:rsidRPr="00012A03">
        <w:rPr>
          <w:b/>
          <w:sz w:val="24"/>
        </w:rPr>
        <w:t>A BUY</w:t>
      </w:r>
      <w:r w:rsidRPr="00012A03">
        <w:rPr>
          <w:sz w:val="24"/>
        </w:rPr>
        <w:t xml:space="preserve"> occurs when companies join the index. </w:t>
      </w:r>
      <w:r w:rsidRPr="00012A03">
        <w:rPr>
          <w:sz w:val="24"/>
        </w:rPr>
        <w:t xml:space="preserve">The fund also buys shares when reinvesting dividends or deploying new cash from investor contributions, spreading these purchases proportionally across all holdings. </w:t>
      </w:r>
    </w:p>
    <w:p w14:paraId="32825874" w14:textId="021F5309" w:rsidR="00CA51AD" w:rsidRPr="00012A03" w:rsidRDefault="008703C1" w:rsidP="005E523F">
      <w:pPr>
        <w:ind w:left="-5" w:right="108"/>
        <w:rPr>
          <w:sz w:val="24"/>
        </w:rPr>
      </w:pPr>
      <w:proofErr w:type="gramStart"/>
      <w:r w:rsidRPr="00012A03">
        <w:rPr>
          <w:b/>
          <w:sz w:val="24"/>
        </w:rPr>
        <w:t>A  SELL</w:t>
      </w:r>
      <w:proofErr w:type="gramEnd"/>
      <w:r w:rsidRPr="00012A03">
        <w:rPr>
          <w:sz w:val="24"/>
        </w:rPr>
        <w:t xml:space="preserve"> happens when companies exit the index through mergers, bankruptcies, privatizations, or shrinking market caps</w:t>
      </w:r>
      <w:r w:rsidR="004E2110">
        <w:rPr>
          <w:sz w:val="24"/>
        </w:rPr>
        <w:t>.</w:t>
      </w:r>
      <w:r w:rsidRPr="00012A03">
        <w:rPr>
          <w:sz w:val="24"/>
        </w:rPr>
        <w:t xml:space="preserve"> The fund also makes small adjustments during quarterly rebalancing to keep portfolio weights aligned with any market cap shifts. </w:t>
      </w:r>
    </w:p>
    <w:p w14:paraId="79C6BDD0" w14:textId="59D9A96E" w:rsidR="00CA51AD" w:rsidRPr="00012A03" w:rsidRDefault="003F7AA0" w:rsidP="003F7AA0">
      <w:pPr>
        <w:pStyle w:val="Headings"/>
      </w:pPr>
      <w:bookmarkStart w:id="3" w:name="_Toc213247478"/>
      <w:r>
        <w:t>Security Holdings</w:t>
      </w:r>
      <w:bookmarkEnd w:id="3"/>
      <w:r w:rsidR="008703C1" w:rsidRPr="00012A03">
        <w:t xml:space="preserve"> </w:t>
      </w:r>
    </w:p>
    <w:p w14:paraId="405E5368" w14:textId="7162F79E" w:rsidR="002D3A3A" w:rsidRPr="00012A03" w:rsidRDefault="008703C1" w:rsidP="00C77CB8">
      <w:pPr>
        <w:ind w:left="-5" w:right="108"/>
        <w:rPr>
          <w:sz w:val="24"/>
        </w:rPr>
      </w:pPr>
      <w:r w:rsidRPr="00012A03">
        <w:rPr>
          <w:sz w:val="24"/>
        </w:rPr>
        <w:t xml:space="preserve">As a market-cap weighted index fund, VFIAX's largest holdings reflect the biggest companies in </w:t>
      </w:r>
      <w:proofErr w:type="gramStart"/>
      <w:r w:rsidRPr="00012A03">
        <w:rPr>
          <w:sz w:val="24"/>
        </w:rPr>
        <w:t>the S</w:t>
      </w:r>
      <w:proofErr w:type="gramEnd"/>
      <w:r w:rsidRPr="00012A03">
        <w:rPr>
          <w:sz w:val="24"/>
        </w:rPr>
        <w:t>&amp;P 500. The top 10 positions account for 38.73% of the portfolio, with technology stocks dominating due to their substantial market valuations. The table below shows these holdings as of October 31, 2025</w:t>
      </w:r>
      <w:r w:rsidR="002D3A3A">
        <w:rPr>
          <w:sz w:val="24"/>
        </w:rPr>
        <w:t>:</w:t>
      </w:r>
    </w:p>
    <w:tbl>
      <w:tblPr>
        <w:tblStyle w:val="TableGrid"/>
        <w:tblW w:w="9300" w:type="dxa"/>
        <w:tblInd w:w="10" w:type="dxa"/>
        <w:tblCellMar>
          <w:top w:w="167" w:type="dxa"/>
          <w:left w:w="95" w:type="dxa"/>
          <w:right w:w="76" w:type="dxa"/>
        </w:tblCellMar>
        <w:tblLook w:val="04A0" w:firstRow="1" w:lastRow="0" w:firstColumn="1" w:lastColumn="0" w:noHBand="0" w:noVBand="1"/>
      </w:tblPr>
      <w:tblGrid>
        <w:gridCol w:w="1860"/>
        <w:gridCol w:w="2240"/>
        <w:gridCol w:w="1480"/>
        <w:gridCol w:w="1860"/>
        <w:gridCol w:w="1860"/>
      </w:tblGrid>
      <w:tr w:rsidR="00CA51AD" w14:paraId="2BB0DDC1"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633688D9" w14:textId="77777777" w:rsidR="00CA51AD" w:rsidRDefault="008703C1" w:rsidP="008355F9">
            <w:pPr>
              <w:spacing w:after="160" w:line="276" w:lineRule="auto"/>
              <w:ind w:right="39"/>
              <w:jc w:val="center"/>
            </w:pPr>
            <w:r>
              <w:rPr>
                <w:b/>
              </w:rPr>
              <w:t>Rank</w:t>
            </w:r>
            <w: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3E2CC699" w14:textId="77777777" w:rsidR="00CA51AD" w:rsidRDefault="008703C1" w:rsidP="008355F9">
            <w:pPr>
              <w:spacing w:after="160" w:line="276" w:lineRule="auto"/>
              <w:ind w:right="29"/>
              <w:jc w:val="center"/>
            </w:pPr>
            <w:r>
              <w:rPr>
                <w:b/>
              </w:rPr>
              <w:t>Company</w:t>
            </w:r>
            <w: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56CBA649" w14:textId="77777777" w:rsidR="00CA51AD" w:rsidRDefault="008703C1" w:rsidP="008355F9">
            <w:pPr>
              <w:spacing w:after="160" w:line="276" w:lineRule="auto"/>
              <w:ind w:right="29"/>
              <w:jc w:val="center"/>
            </w:pPr>
            <w:r>
              <w:rPr>
                <w:b/>
              </w:rPr>
              <w:t>Ticker</w:t>
            </w:r>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5DB71C07" w14:textId="77777777" w:rsidR="00CA51AD" w:rsidRDefault="008703C1" w:rsidP="008355F9">
            <w:pPr>
              <w:spacing w:after="160" w:line="276" w:lineRule="auto"/>
              <w:ind w:right="39"/>
              <w:jc w:val="center"/>
            </w:pPr>
            <w:r>
              <w:rPr>
                <w:b/>
              </w:rPr>
              <w:t>Weight</w:t>
            </w:r>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54BB2CC1" w14:textId="77777777" w:rsidR="00CA51AD" w:rsidRDefault="008703C1" w:rsidP="008355F9">
            <w:pPr>
              <w:spacing w:after="160" w:line="276" w:lineRule="auto"/>
              <w:ind w:right="39"/>
              <w:jc w:val="center"/>
            </w:pPr>
            <w:r>
              <w:rPr>
                <w:b/>
              </w:rPr>
              <w:t>Sector</w:t>
            </w:r>
            <w:r>
              <w:t xml:space="preserve"> </w:t>
            </w:r>
          </w:p>
        </w:tc>
      </w:tr>
      <w:tr w:rsidR="00CA51AD" w14:paraId="0EC91C45"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3B37EF55" w14:textId="77777777" w:rsidR="00CA51AD" w:rsidRDefault="008703C1" w:rsidP="008355F9">
            <w:pPr>
              <w:spacing w:after="160" w:line="276" w:lineRule="auto"/>
              <w:ind w:right="39"/>
              <w:jc w:val="center"/>
            </w:pPr>
            <w:r>
              <w:t xml:space="preserve">1 </w:t>
            </w:r>
          </w:p>
        </w:tc>
        <w:tc>
          <w:tcPr>
            <w:tcW w:w="2240" w:type="dxa"/>
            <w:tcBorders>
              <w:top w:val="single" w:sz="8" w:space="0" w:color="000000"/>
              <w:left w:val="single" w:sz="8" w:space="0" w:color="000000"/>
              <w:bottom w:val="single" w:sz="8" w:space="0" w:color="000000"/>
              <w:right w:val="single" w:sz="8" w:space="0" w:color="000000"/>
            </w:tcBorders>
            <w:vAlign w:val="center"/>
          </w:tcPr>
          <w:p w14:paraId="6BE56EE3" w14:textId="77777777" w:rsidR="00CA51AD" w:rsidRDefault="008703C1" w:rsidP="008355F9">
            <w:pPr>
              <w:spacing w:after="160" w:line="276" w:lineRule="auto"/>
            </w:pPr>
            <w:r>
              <w:t xml:space="preserve">NVIDIA Corporation </w:t>
            </w:r>
          </w:p>
        </w:tc>
        <w:tc>
          <w:tcPr>
            <w:tcW w:w="1480" w:type="dxa"/>
            <w:tcBorders>
              <w:top w:val="single" w:sz="8" w:space="0" w:color="000000"/>
              <w:left w:val="single" w:sz="8" w:space="0" w:color="000000"/>
              <w:bottom w:val="single" w:sz="8" w:space="0" w:color="000000"/>
              <w:right w:val="single" w:sz="8" w:space="0" w:color="000000"/>
            </w:tcBorders>
            <w:vAlign w:val="center"/>
          </w:tcPr>
          <w:p w14:paraId="5BDBE097" w14:textId="77777777" w:rsidR="00CA51AD" w:rsidRDefault="008703C1" w:rsidP="008355F9">
            <w:pPr>
              <w:spacing w:after="160" w:line="276" w:lineRule="auto"/>
              <w:ind w:right="29"/>
              <w:jc w:val="center"/>
            </w:pPr>
            <w:r>
              <w:t xml:space="preserve">NVDA </w:t>
            </w:r>
          </w:p>
        </w:tc>
        <w:tc>
          <w:tcPr>
            <w:tcW w:w="1860" w:type="dxa"/>
            <w:tcBorders>
              <w:top w:val="single" w:sz="8" w:space="0" w:color="000000"/>
              <w:left w:val="single" w:sz="8" w:space="0" w:color="000000"/>
              <w:bottom w:val="single" w:sz="8" w:space="0" w:color="000000"/>
              <w:right w:val="single" w:sz="8" w:space="0" w:color="000000"/>
            </w:tcBorders>
            <w:vAlign w:val="center"/>
          </w:tcPr>
          <w:p w14:paraId="1D43F0E0" w14:textId="77777777" w:rsidR="00CA51AD" w:rsidRDefault="008703C1" w:rsidP="008355F9">
            <w:pPr>
              <w:spacing w:after="160" w:line="276" w:lineRule="auto"/>
              <w:ind w:right="39"/>
              <w:jc w:val="center"/>
            </w:pPr>
            <w:r>
              <w:t xml:space="preserve">7.95% </w:t>
            </w:r>
          </w:p>
        </w:tc>
        <w:tc>
          <w:tcPr>
            <w:tcW w:w="1860" w:type="dxa"/>
            <w:tcBorders>
              <w:top w:val="single" w:sz="8" w:space="0" w:color="000000"/>
              <w:left w:val="single" w:sz="8" w:space="0" w:color="000000"/>
              <w:bottom w:val="single" w:sz="8" w:space="0" w:color="000000"/>
              <w:right w:val="single" w:sz="8" w:space="0" w:color="000000"/>
            </w:tcBorders>
            <w:vAlign w:val="center"/>
          </w:tcPr>
          <w:p w14:paraId="527C8A0E" w14:textId="77777777" w:rsidR="00CA51AD" w:rsidRDefault="008703C1" w:rsidP="008355F9">
            <w:pPr>
              <w:spacing w:after="160" w:line="276" w:lineRule="auto"/>
              <w:ind w:right="39"/>
              <w:jc w:val="center"/>
            </w:pPr>
            <w:r>
              <w:t xml:space="preserve">Technology </w:t>
            </w:r>
          </w:p>
        </w:tc>
      </w:tr>
      <w:tr w:rsidR="00CA51AD" w14:paraId="57893287"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544E4D18" w14:textId="77777777" w:rsidR="00CA51AD" w:rsidRDefault="008703C1" w:rsidP="008355F9">
            <w:pPr>
              <w:spacing w:after="160" w:line="276" w:lineRule="auto"/>
              <w:ind w:right="39"/>
              <w:jc w:val="center"/>
            </w:pPr>
            <w:r>
              <w:t xml:space="preserve">2 </w:t>
            </w:r>
          </w:p>
        </w:tc>
        <w:tc>
          <w:tcPr>
            <w:tcW w:w="2240" w:type="dxa"/>
            <w:tcBorders>
              <w:top w:val="single" w:sz="8" w:space="0" w:color="000000"/>
              <w:left w:val="single" w:sz="8" w:space="0" w:color="000000"/>
              <w:bottom w:val="single" w:sz="8" w:space="0" w:color="000000"/>
              <w:right w:val="single" w:sz="8" w:space="0" w:color="000000"/>
            </w:tcBorders>
            <w:vAlign w:val="center"/>
          </w:tcPr>
          <w:p w14:paraId="5AF07D3D" w14:textId="77777777" w:rsidR="00CA51AD" w:rsidRDefault="008703C1" w:rsidP="008355F9">
            <w:pPr>
              <w:spacing w:after="160" w:line="276" w:lineRule="auto"/>
            </w:pPr>
            <w:r>
              <w:t xml:space="preserve">Microsoft Corporation </w:t>
            </w:r>
          </w:p>
        </w:tc>
        <w:tc>
          <w:tcPr>
            <w:tcW w:w="1480" w:type="dxa"/>
            <w:tcBorders>
              <w:top w:val="single" w:sz="8" w:space="0" w:color="000000"/>
              <w:left w:val="single" w:sz="8" w:space="0" w:color="000000"/>
              <w:bottom w:val="single" w:sz="8" w:space="0" w:color="000000"/>
              <w:right w:val="single" w:sz="8" w:space="0" w:color="000000"/>
            </w:tcBorders>
            <w:vAlign w:val="center"/>
          </w:tcPr>
          <w:p w14:paraId="57018019" w14:textId="77777777" w:rsidR="00CA51AD" w:rsidRDefault="008703C1" w:rsidP="008355F9">
            <w:pPr>
              <w:spacing w:after="160" w:line="276" w:lineRule="auto"/>
              <w:ind w:right="29"/>
              <w:jc w:val="center"/>
            </w:pPr>
            <w:r>
              <w:t xml:space="preserve">MSFT </w:t>
            </w:r>
          </w:p>
        </w:tc>
        <w:tc>
          <w:tcPr>
            <w:tcW w:w="1860" w:type="dxa"/>
            <w:tcBorders>
              <w:top w:val="single" w:sz="8" w:space="0" w:color="000000"/>
              <w:left w:val="single" w:sz="8" w:space="0" w:color="000000"/>
              <w:bottom w:val="single" w:sz="8" w:space="0" w:color="000000"/>
              <w:right w:val="single" w:sz="8" w:space="0" w:color="000000"/>
            </w:tcBorders>
            <w:vAlign w:val="center"/>
          </w:tcPr>
          <w:p w14:paraId="6F9C3158" w14:textId="77777777" w:rsidR="00CA51AD" w:rsidRDefault="008703C1" w:rsidP="008355F9">
            <w:pPr>
              <w:spacing w:after="160" w:line="276" w:lineRule="auto"/>
              <w:ind w:right="39"/>
              <w:jc w:val="center"/>
            </w:pPr>
            <w:r>
              <w:t xml:space="preserve">6.72% </w:t>
            </w:r>
          </w:p>
        </w:tc>
        <w:tc>
          <w:tcPr>
            <w:tcW w:w="1860" w:type="dxa"/>
            <w:tcBorders>
              <w:top w:val="single" w:sz="8" w:space="0" w:color="000000"/>
              <w:left w:val="single" w:sz="8" w:space="0" w:color="000000"/>
              <w:bottom w:val="single" w:sz="8" w:space="0" w:color="000000"/>
              <w:right w:val="single" w:sz="8" w:space="0" w:color="000000"/>
            </w:tcBorders>
            <w:vAlign w:val="center"/>
          </w:tcPr>
          <w:p w14:paraId="561DFD3F" w14:textId="77777777" w:rsidR="00CA51AD" w:rsidRDefault="008703C1" w:rsidP="008355F9">
            <w:pPr>
              <w:spacing w:after="160" w:line="276" w:lineRule="auto"/>
              <w:ind w:right="39"/>
              <w:jc w:val="center"/>
            </w:pPr>
            <w:r>
              <w:t xml:space="preserve">Technology </w:t>
            </w:r>
          </w:p>
        </w:tc>
      </w:tr>
      <w:tr w:rsidR="00CA51AD" w14:paraId="189632F1"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45643A50" w14:textId="77777777" w:rsidR="00CA51AD" w:rsidRDefault="008703C1" w:rsidP="008355F9">
            <w:pPr>
              <w:spacing w:after="160" w:line="276" w:lineRule="auto"/>
              <w:ind w:right="39"/>
              <w:jc w:val="center"/>
            </w:pPr>
            <w:r>
              <w:t xml:space="preserve">3 </w:t>
            </w:r>
          </w:p>
        </w:tc>
        <w:tc>
          <w:tcPr>
            <w:tcW w:w="2240" w:type="dxa"/>
            <w:tcBorders>
              <w:top w:val="single" w:sz="8" w:space="0" w:color="000000"/>
              <w:left w:val="single" w:sz="8" w:space="0" w:color="000000"/>
              <w:bottom w:val="single" w:sz="8" w:space="0" w:color="000000"/>
              <w:right w:val="single" w:sz="8" w:space="0" w:color="000000"/>
            </w:tcBorders>
            <w:vAlign w:val="center"/>
          </w:tcPr>
          <w:p w14:paraId="311DDDAA" w14:textId="77777777" w:rsidR="00CA51AD" w:rsidRDefault="008703C1" w:rsidP="008355F9">
            <w:pPr>
              <w:spacing w:after="160" w:line="276" w:lineRule="auto"/>
            </w:pPr>
            <w:r>
              <w:t xml:space="preserve">Apple Inc. </w:t>
            </w:r>
          </w:p>
        </w:tc>
        <w:tc>
          <w:tcPr>
            <w:tcW w:w="1480" w:type="dxa"/>
            <w:tcBorders>
              <w:top w:val="single" w:sz="8" w:space="0" w:color="000000"/>
              <w:left w:val="single" w:sz="8" w:space="0" w:color="000000"/>
              <w:bottom w:val="single" w:sz="8" w:space="0" w:color="000000"/>
              <w:right w:val="single" w:sz="8" w:space="0" w:color="000000"/>
            </w:tcBorders>
            <w:vAlign w:val="center"/>
          </w:tcPr>
          <w:p w14:paraId="61CD8AFD" w14:textId="77777777" w:rsidR="00CA51AD" w:rsidRDefault="008703C1" w:rsidP="008355F9">
            <w:pPr>
              <w:spacing w:after="160" w:line="276" w:lineRule="auto"/>
              <w:ind w:right="29"/>
              <w:jc w:val="center"/>
            </w:pPr>
            <w:r>
              <w:t xml:space="preserve">AAPL </w:t>
            </w:r>
          </w:p>
        </w:tc>
        <w:tc>
          <w:tcPr>
            <w:tcW w:w="1860" w:type="dxa"/>
            <w:tcBorders>
              <w:top w:val="single" w:sz="8" w:space="0" w:color="000000"/>
              <w:left w:val="single" w:sz="8" w:space="0" w:color="000000"/>
              <w:bottom w:val="single" w:sz="8" w:space="0" w:color="000000"/>
              <w:right w:val="single" w:sz="8" w:space="0" w:color="000000"/>
            </w:tcBorders>
            <w:vAlign w:val="center"/>
          </w:tcPr>
          <w:p w14:paraId="2559E9A6" w14:textId="77777777" w:rsidR="00CA51AD" w:rsidRDefault="008703C1" w:rsidP="008355F9">
            <w:pPr>
              <w:spacing w:after="160" w:line="276" w:lineRule="auto"/>
              <w:ind w:right="39"/>
              <w:jc w:val="center"/>
            </w:pPr>
            <w:r>
              <w:t xml:space="preserve">6.60% </w:t>
            </w:r>
          </w:p>
        </w:tc>
        <w:tc>
          <w:tcPr>
            <w:tcW w:w="1860" w:type="dxa"/>
            <w:tcBorders>
              <w:top w:val="single" w:sz="8" w:space="0" w:color="000000"/>
              <w:left w:val="single" w:sz="8" w:space="0" w:color="000000"/>
              <w:bottom w:val="single" w:sz="8" w:space="0" w:color="000000"/>
              <w:right w:val="single" w:sz="8" w:space="0" w:color="000000"/>
            </w:tcBorders>
            <w:vAlign w:val="center"/>
          </w:tcPr>
          <w:p w14:paraId="056541B3" w14:textId="77777777" w:rsidR="00CA51AD" w:rsidRDefault="008703C1" w:rsidP="008355F9">
            <w:pPr>
              <w:spacing w:after="160" w:line="276" w:lineRule="auto"/>
              <w:ind w:right="39"/>
              <w:jc w:val="center"/>
            </w:pPr>
            <w:r>
              <w:t xml:space="preserve">Technology </w:t>
            </w:r>
          </w:p>
        </w:tc>
      </w:tr>
      <w:tr w:rsidR="00CA51AD" w14:paraId="03530C27" w14:textId="77777777">
        <w:trPr>
          <w:trHeight w:val="720"/>
        </w:trPr>
        <w:tc>
          <w:tcPr>
            <w:tcW w:w="1860" w:type="dxa"/>
            <w:tcBorders>
              <w:top w:val="single" w:sz="8" w:space="0" w:color="000000"/>
              <w:left w:val="single" w:sz="8" w:space="0" w:color="000000"/>
              <w:bottom w:val="single" w:sz="8" w:space="0" w:color="000000"/>
              <w:right w:val="single" w:sz="8" w:space="0" w:color="000000"/>
            </w:tcBorders>
          </w:tcPr>
          <w:p w14:paraId="552D02E5" w14:textId="77777777" w:rsidR="00CA51AD" w:rsidRDefault="008703C1" w:rsidP="008355F9">
            <w:pPr>
              <w:spacing w:after="160" w:line="276" w:lineRule="auto"/>
              <w:ind w:right="39"/>
              <w:jc w:val="center"/>
            </w:pPr>
            <w:r>
              <w:t xml:space="preserve">4 </w:t>
            </w:r>
          </w:p>
        </w:tc>
        <w:tc>
          <w:tcPr>
            <w:tcW w:w="2240" w:type="dxa"/>
            <w:tcBorders>
              <w:top w:val="single" w:sz="8" w:space="0" w:color="000000"/>
              <w:left w:val="single" w:sz="8" w:space="0" w:color="000000"/>
              <w:bottom w:val="single" w:sz="8" w:space="0" w:color="000000"/>
              <w:right w:val="single" w:sz="8" w:space="0" w:color="000000"/>
            </w:tcBorders>
            <w:vAlign w:val="center"/>
          </w:tcPr>
          <w:p w14:paraId="3AD4DFA3" w14:textId="77777777" w:rsidR="00CA51AD" w:rsidRDefault="008703C1" w:rsidP="008355F9">
            <w:pPr>
              <w:spacing w:after="160" w:line="276" w:lineRule="auto"/>
            </w:pPr>
            <w:r>
              <w:t xml:space="preserve">Amazon.com, </w:t>
            </w:r>
          </w:p>
          <w:p w14:paraId="13943EE5" w14:textId="77777777" w:rsidR="00CA51AD" w:rsidRDefault="008703C1" w:rsidP="008355F9">
            <w:pPr>
              <w:spacing w:after="160" w:line="276" w:lineRule="auto"/>
            </w:pPr>
            <w:r>
              <w:t xml:space="preserve">Inc. </w:t>
            </w:r>
          </w:p>
        </w:tc>
        <w:tc>
          <w:tcPr>
            <w:tcW w:w="1480" w:type="dxa"/>
            <w:tcBorders>
              <w:top w:val="single" w:sz="8" w:space="0" w:color="000000"/>
              <w:left w:val="single" w:sz="8" w:space="0" w:color="000000"/>
              <w:bottom w:val="single" w:sz="8" w:space="0" w:color="000000"/>
              <w:right w:val="single" w:sz="8" w:space="0" w:color="000000"/>
            </w:tcBorders>
          </w:tcPr>
          <w:p w14:paraId="393D8007" w14:textId="77777777" w:rsidR="00CA51AD" w:rsidRDefault="008703C1" w:rsidP="008355F9">
            <w:pPr>
              <w:spacing w:after="160" w:line="276" w:lineRule="auto"/>
              <w:ind w:right="29"/>
              <w:jc w:val="center"/>
            </w:pPr>
            <w:r>
              <w:t xml:space="preserve">AMZN </w:t>
            </w:r>
          </w:p>
        </w:tc>
        <w:tc>
          <w:tcPr>
            <w:tcW w:w="1860" w:type="dxa"/>
            <w:tcBorders>
              <w:top w:val="single" w:sz="8" w:space="0" w:color="000000"/>
              <w:left w:val="single" w:sz="8" w:space="0" w:color="000000"/>
              <w:bottom w:val="single" w:sz="8" w:space="0" w:color="000000"/>
              <w:right w:val="single" w:sz="8" w:space="0" w:color="000000"/>
            </w:tcBorders>
          </w:tcPr>
          <w:p w14:paraId="07656629" w14:textId="77777777" w:rsidR="00CA51AD" w:rsidRDefault="008703C1" w:rsidP="008355F9">
            <w:pPr>
              <w:spacing w:after="160" w:line="276" w:lineRule="auto"/>
              <w:ind w:right="39"/>
              <w:jc w:val="center"/>
            </w:pPr>
            <w:r>
              <w:t xml:space="preserve">3.72% </w:t>
            </w:r>
          </w:p>
        </w:tc>
        <w:tc>
          <w:tcPr>
            <w:tcW w:w="1860" w:type="dxa"/>
            <w:tcBorders>
              <w:top w:val="single" w:sz="8" w:space="0" w:color="000000"/>
              <w:left w:val="single" w:sz="8" w:space="0" w:color="000000"/>
              <w:bottom w:val="single" w:sz="8" w:space="0" w:color="000000"/>
              <w:right w:val="single" w:sz="8" w:space="0" w:color="000000"/>
            </w:tcBorders>
            <w:vAlign w:val="center"/>
          </w:tcPr>
          <w:p w14:paraId="580CEFA9" w14:textId="77777777" w:rsidR="00CA51AD" w:rsidRDefault="008703C1" w:rsidP="008355F9">
            <w:pPr>
              <w:spacing w:after="160" w:line="276" w:lineRule="auto"/>
              <w:ind w:left="459" w:hanging="86"/>
            </w:pPr>
            <w:r>
              <w:t xml:space="preserve">Consumer Cyclical </w:t>
            </w:r>
          </w:p>
        </w:tc>
      </w:tr>
      <w:tr w:rsidR="00CA51AD" w14:paraId="44B254EA" w14:textId="77777777">
        <w:trPr>
          <w:trHeight w:val="740"/>
        </w:trPr>
        <w:tc>
          <w:tcPr>
            <w:tcW w:w="1860" w:type="dxa"/>
            <w:tcBorders>
              <w:top w:val="single" w:sz="8" w:space="0" w:color="000000"/>
              <w:left w:val="single" w:sz="8" w:space="0" w:color="000000"/>
              <w:bottom w:val="single" w:sz="8" w:space="0" w:color="000000"/>
              <w:right w:val="single" w:sz="8" w:space="0" w:color="000000"/>
            </w:tcBorders>
          </w:tcPr>
          <w:p w14:paraId="2405DAE8" w14:textId="77777777" w:rsidR="00CA51AD" w:rsidRDefault="008703C1" w:rsidP="008355F9">
            <w:pPr>
              <w:spacing w:after="160" w:line="276" w:lineRule="auto"/>
              <w:ind w:right="39"/>
              <w:jc w:val="center"/>
            </w:pPr>
            <w:r>
              <w:t xml:space="preserve">5 </w:t>
            </w:r>
          </w:p>
        </w:tc>
        <w:tc>
          <w:tcPr>
            <w:tcW w:w="2240" w:type="dxa"/>
            <w:tcBorders>
              <w:top w:val="single" w:sz="8" w:space="0" w:color="000000"/>
              <w:left w:val="single" w:sz="8" w:space="0" w:color="000000"/>
              <w:bottom w:val="single" w:sz="8" w:space="0" w:color="000000"/>
              <w:right w:val="single" w:sz="8" w:space="0" w:color="000000"/>
            </w:tcBorders>
          </w:tcPr>
          <w:p w14:paraId="0FABCC9B" w14:textId="77777777" w:rsidR="00CA51AD" w:rsidRDefault="008703C1" w:rsidP="008355F9">
            <w:pPr>
              <w:spacing w:after="160" w:line="276" w:lineRule="auto"/>
            </w:pPr>
            <w:r>
              <w:t xml:space="preserve">Meta Platforms Inc. </w:t>
            </w:r>
          </w:p>
        </w:tc>
        <w:tc>
          <w:tcPr>
            <w:tcW w:w="1480" w:type="dxa"/>
            <w:tcBorders>
              <w:top w:val="single" w:sz="8" w:space="0" w:color="000000"/>
              <w:left w:val="single" w:sz="8" w:space="0" w:color="000000"/>
              <w:bottom w:val="single" w:sz="8" w:space="0" w:color="000000"/>
              <w:right w:val="single" w:sz="8" w:space="0" w:color="000000"/>
            </w:tcBorders>
          </w:tcPr>
          <w:p w14:paraId="4CD50404" w14:textId="77777777" w:rsidR="00CA51AD" w:rsidRDefault="008703C1" w:rsidP="008355F9">
            <w:pPr>
              <w:spacing w:after="160" w:line="276" w:lineRule="auto"/>
              <w:ind w:right="29"/>
              <w:jc w:val="center"/>
            </w:pPr>
            <w:r>
              <w:t xml:space="preserve">META </w:t>
            </w:r>
          </w:p>
        </w:tc>
        <w:tc>
          <w:tcPr>
            <w:tcW w:w="1860" w:type="dxa"/>
            <w:tcBorders>
              <w:top w:val="single" w:sz="8" w:space="0" w:color="000000"/>
              <w:left w:val="single" w:sz="8" w:space="0" w:color="000000"/>
              <w:bottom w:val="single" w:sz="8" w:space="0" w:color="000000"/>
              <w:right w:val="single" w:sz="8" w:space="0" w:color="000000"/>
            </w:tcBorders>
          </w:tcPr>
          <w:p w14:paraId="2307DFA7" w14:textId="77777777" w:rsidR="00CA51AD" w:rsidRDefault="008703C1" w:rsidP="008355F9">
            <w:pPr>
              <w:spacing w:after="160" w:line="276" w:lineRule="auto"/>
              <w:ind w:right="39"/>
              <w:jc w:val="center"/>
            </w:pPr>
            <w:r>
              <w:t xml:space="preserve">2.78% </w:t>
            </w:r>
          </w:p>
        </w:tc>
        <w:tc>
          <w:tcPr>
            <w:tcW w:w="1860" w:type="dxa"/>
            <w:tcBorders>
              <w:top w:val="single" w:sz="8" w:space="0" w:color="000000"/>
              <w:left w:val="single" w:sz="8" w:space="0" w:color="000000"/>
              <w:bottom w:val="single" w:sz="8" w:space="0" w:color="000000"/>
              <w:right w:val="single" w:sz="8" w:space="0" w:color="000000"/>
            </w:tcBorders>
            <w:vAlign w:val="center"/>
          </w:tcPr>
          <w:p w14:paraId="001BC71D" w14:textId="77777777" w:rsidR="00CA51AD" w:rsidRDefault="008703C1" w:rsidP="008355F9">
            <w:pPr>
              <w:spacing w:after="160" w:line="276" w:lineRule="auto"/>
              <w:ind w:left="453" w:hanging="336"/>
            </w:pPr>
            <w:r>
              <w:t xml:space="preserve">Communication Services </w:t>
            </w:r>
          </w:p>
        </w:tc>
      </w:tr>
      <w:tr w:rsidR="00CA51AD" w14:paraId="62DB9110"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08706363" w14:textId="77777777" w:rsidR="00CA51AD" w:rsidRDefault="008703C1" w:rsidP="008355F9">
            <w:pPr>
              <w:spacing w:after="160" w:line="276" w:lineRule="auto"/>
              <w:ind w:right="39"/>
              <w:jc w:val="center"/>
            </w:pPr>
            <w:r>
              <w:t xml:space="preserve">6 </w:t>
            </w:r>
          </w:p>
        </w:tc>
        <w:tc>
          <w:tcPr>
            <w:tcW w:w="2240" w:type="dxa"/>
            <w:tcBorders>
              <w:top w:val="single" w:sz="8" w:space="0" w:color="000000"/>
              <w:left w:val="single" w:sz="8" w:space="0" w:color="000000"/>
              <w:bottom w:val="single" w:sz="8" w:space="0" w:color="000000"/>
              <w:right w:val="single" w:sz="8" w:space="0" w:color="000000"/>
            </w:tcBorders>
            <w:vAlign w:val="center"/>
          </w:tcPr>
          <w:p w14:paraId="5AA18EAD" w14:textId="77777777" w:rsidR="00CA51AD" w:rsidRDefault="008703C1" w:rsidP="008355F9">
            <w:pPr>
              <w:spacing w:after="160" w:line="276" w:lineRule="auto"/>
            </w:pPr>
            <w:r>
              <w:t xml:space="preserve">Broadcom Inc. </w:t>
            </w:r>
          </w:p>
        </w:tc>
        <w:tc>
          <w:tcPr>
            <w:tcW w:w="1480" w:type="dxa"/>
            <w:tcBorders>
              <w:top w:val="single" w:sz="8" w:space="0" w:color="000000"/>
              <w:left w:val="single" w:sz="8" w:space="0" w:color="000000"/>
              <w:bottom w:val="single" w:sz="8" w:space="0" w:color="000000"/>
              <w:right w:val="single" w:sz="8" w:space="0" w:color="000000"/>
            </w:tcBorders>
            <w:vAlign w:val="center"/>
          </w:tcPr>
          <w:p w14:paraId="02EB6828" w14:textId="77777777" w:rsidR="00CA51AD" w:rsidRDefault="008703C1" w:rsidP="008355F9">
            <w:pPr>
              <w:spacing w:after="160" w:line="276" w:lineRule="auto"/>
              <w:ind w:right="29"/>
              <w:jc w:val="center"/>
            </w:pPr>
            <w:r>
              <w:t xml:space="preserve">AVGO </w:t>
            </w:r>
          </w:p>
        </w:tc>
        <w:tc>
          <w:tcPr>
            <w:tcW w:w="1860" w:type="dxa"/>
            <w:tcBorders>
              <w:top w:val="single" w:sz="8" w:space="0" w:color="000000"/>
              <w:left w:val="single" w:sz="8" w:space="0" w:color="000000"/>
              <w:bottom w:val="single" w:sz="8" w:space="0" w:color="000000"/>
              <w:right w:val="single" w:sz="8" w:space="0" w:color="000000"/>
            </w:tcBorders>
            <w:vAlign w:val="center"/>
          </w:tcPr>
          <w:p w14:paraId="1C0769D3" w14:textId="77777777" w:rsidR="00CA51AD" w:rsidRDefault="008703C1" w:rsidP="008355F9">
            <w:pPr>
              <w:spacing w:after="160" w:line="276" w:lineRule="auto"/>
              <w:ind w:right="39"/>
              <w:jc w:val="center"/>
            </w:pPr>
            <w:r>
              <w:t xml:space="preserve">2.71% </w:t>
            </w:r>
          </w:p>
        </w:tc>
        <w:tc>
          <w:tcPr>
            <w:tcW w:w="1860" w:type="dxa"/>
            <w:tcBorders>
              <w:top w:val="single" w:sz="8" w:space="0" w:color="000000"/>
              <w:left w:val="single" w:sz="8" w:space="0" w:color="000000"/>
              <w:bottom w:val="single" w:sz="8" w:space="0" w:color="000000"/>
              <w:right w:val="single" w:sz="8" w:space="0" w:color="000000"/>
            </w:tcBorders>
            <w:vAlign w:val="center"/>
          </w:tcPr>
          <w:p w14:paraId="63738C55" w14:textId="77777777" w:rsidR="00CA51AD" w:rsidRDefault="008703C1" w:rsidP="008355F9">
            <w:pPr>
              <w:spacing w:after="160" w:line="276" w:lineRule="auto"/>
              <w:ind w:right="39"/>
              <w:jc w:val="center"/>
            </w:pPr>
            <w:r>
              <w:t xml:space="preserve">Technology </w:t>
            </w:r>
          </w:p>
        </w:tc>
      </w:tr>
      <w:tr w:rsidR="00CA51AD" w14:paraId="11E2BAC6" w14:textId="77777777">
        <w:trPr>
          <w:trHeight w:val="720"/>
        </w:trPr>
        <w:tc>
          <w:tcPr>
            <w:tcW w:w="1860" w:type="dxa"/>
            <w:tcBorders>
              <w:top w:val="single" w:sz="8" w:space="0" w:color="000000"/>
              <w:left w:val="single" w:sz="8" w:space="0" w:color="000000"/>
              <w:bottom w:val="single" w:sz="8" w:space="0" w:color="000000"/>
              <w:right w:val="single" w:sz="8" w:space="0" w:color="000000"/>
            </w:tcBorders>
          </w:tcPr>
          <w:p w14:paraId="1C58FA24" w14:textId="77777777" w:rsidR="00CA51AD" w:rsidRDefault="008703C1" w:rsidP="008355F9">
            <w:pPr>
              <w:spacing w:after="160" w:line="276" w:lineRule="auto"/>
              <w:ind w:right="39"/>
              <w:jc w:val="center"/>
            </w:pPr>
            <w:r>
              <w:t xml:space="preserve">7 </w:t>
            </w:r>
          </w:p>
        </w:tc>
        <w:tc>
          <w:tcPr>
            <w:tcW w:w="2240" w:type="dxa"/>
            <w:tcBorders>
              <w:top w:val="single" w:sz="8" w:space="0" w:color="000000"/>
              <w:left w:val="single" w:sz="8" w:space="0" w:color="000000"/>
              <w:bottom w:val="single" w:sz="8" w:space="0" w:color="000000"/>
              <w:right w:val="single" w:sz="8" w:space="0" w:color="000000"/>
            </w:tcBorders>
            <w:vAlign w:val="center"/>
          </w:tcPr>
          <w:p w14:paraId="1C80FD10" w14:textId="77777777" w:rsidR="00CA51AD" w:rsidRDefault="008703C1" w:rsidP="008355F9">
            <w:pPr>
              <w:spacing w:after="160" w:line="276" w:lineRule="auto"/>
            </w:pPr>
            <w:r>
              <w:t xml:space="preserve">Alphabet Inc. (Class A) </w:t>
            </w:r>
          </w:p>
        </w:tc>
        <w:tc>
          <w:tcPr>
            <w:tcW w:w="1480" w:type="dxa"/>
            <w:tcBorders>
              <w:top w:val="single" w:sz="8" w:space="0" w:color="000000"/>
              <w:left w:val="single" w:sz="8" w:space="0" w:color="000000"/>
              <w:bottom w:val="single" w:sz="8" w:space="0" w:color="000000"/>
              <w:right w:val="single" w:sz="8" w:space="0" w:color="000000"/>
            </w:tcBorders>
          </w:tcPr>
          <w:p w14:paraId="1B791B51" w14:textId="77777777" w:rsidR="00CA51AD" w:rsidRDefault="008703C1" w:rsidP="008355F9">
            <w:pPr>
              <w:spacing w:after="160" w:line="276" w:lineRule="auto"/>
              <w:ind w:right="29"/>
              <w:jc w:val="center"/>
            </w:pPr>
            <w:r>
              <w:t xml:space="preserve">GOOGL </w:t>
            </w:r>
          </w:p>
        </w:tc>
        <w:tc>
          <w:tcPr>
            <w:tcW w:w="1860" w:type="dxa"/>
            <w:tcBorders>
              <w:top w:val="single" w:sz="8" w:space="0" w:color="000000"/>
              <w:left w:val="single" w:sz="8" w:space="0" w:color="000000"/>
              <w:bottom w:val="single" w:sz="8" w:space="0" w:color="000000"/>
              <w:right w:val="single" w:sz="8" w:space="0" w:color="000000"/>
            </w:tcBorders>
          </w:tcPr>
          <w:p w14:paraId="1019B75D" w14:textId="77777777" w:rsidR="00CA51AD" w:rsidRDefault="008703C1" w:rsidP="008355F9">
            <w:pPr>
              <w:spacing w:after="160" w:line="276" w:lineRule="auto"/>
              <w:ind w:right="39"/>
              <w:jc w:val="center"/>
            </w:pPr>
            <w:r>
              <w:t xml:space="preserve">2.47% </w:t>
            </w:r>
          </w:p>
        </w:tc>
        <w:tc>
          <w:tcPr>
            <w:tcW w:w="1860" w:type="dxa"/>
            <w:tcBorders>
              <w:top w:val="single" w:sz="8" w:space="0" w:color="000000"/>
              <w:left w:val="single" w:sz="8" w:space="0" w:color="000000"/>
              <w:bottom w:val="single" w:sz="8" w:space="0" w:color="000000"/>
              <w:right w:val="single" w:sz="8" w:space="0" w:color="000000"/>
            </w:tcBorders>
            <w:vAlign w:val="center"/>
          </w:tcPr>
          <w:p w14:paraId="459C2275" w14:textId="77777777" w:rsidR="00CA51AD" w:rsidRDefault="008703C1" w:rsidP="008355F9">
            <w:pPr>
              <w:spacing w:after="160" w:line="276" w:lineRule="auto"/>
              <w:ind w:left="453" w:hanging="336"/>
            </w:pPr>
            <w:r>
              <w:t xml:space="preserve">Communication Services </w:t>
            </w:r>
          </w:p>
        </w:tc>
      </w:tr>
      <w:tr w:rsidR="00CA51AD" w14:paraId="7349937C" w14:textId="77777777">
        <w:trPr>
          <w:trHeight w:val="740"/>
        </w:trPr>
        <w:tc>
          <w:tcPr>
            <w:tcW w:w="1860" w:type="dxa"/>
            <w:tcBorders>
              <w:top w:val="single" w:sz="8" w:space="0" w:color="000000"/>
              <w:left w:val="single" w:sz="8" w:space="0" w:color="000000"/>
              <w:bottom w:val="single" w:sz="8" w:space="0" w:color="000000"/>
              <w:right w:val="single" w:sz="8" w:space="0" w:color="000000"/>
            </w:tcBorders>
          </w:tcPr>
          <w:p w14:paraId="4223F05B" w14:textId="77777777" w:rsidR="00CA51AD" w:rsidRDefault="008703C1" w:rsidP="008355F9">
            <w:pPr>
              <w:spacing w:after="160" w:line="276" w:lineRule="auto"/>
              <w:ind w:right="39"/>
              <w:jc w:val="center"/>
            </w:pPr>
            <w:r>
              <w:t xml:space="preserve">8 </w:t>
            </w:r>
          </w:p>
        </w:tc>
        <w:tc>
          <w:tcPr>
            <w:tcW w:w="2240" w:type="dxa"/>
            <w:tcBorders>
              <w:top w:val="single" w:sz="8" w:space="0" w:color="000000"/>
              <w:left w:val="single" w:sz="8" w:space="0" w:color="000000"/>
              <w:bottom w:val="single" w:sz="8" w:space="0" w:color="000000"/>
              <w:right w:val="single" w:sz="8" w:space="0" w:color="000000"/>
            </w:tcBorders>
          </w:tcPr>
          <w:p w14:paraId="77C8B643" w14:textId="77777777" w:rsidR="00CA51AD" w:rsidRDefault="008703C1" w:rsidP="008355F9">
            <w:pPr>
              <w:spacing w:after="160" w:line="276" w:lineRule="auto"/>
            </w:pPr>
            <w:r>
              <w:t xml:space="preserve">Tesla, Inc. </w:t>
            </w:r>
          </w:p>
        </w:tc>
        <w:tc>
          <w:tcPr>
            <w:tcW w:w="1480" w:type="dxa"/>
            <w:tcBorders>
              <w:top w:val="single" w:sz="8" w:space="0" w:color="000000"/>
              <w:left w:val="single" w:sz="8" w:space="0" w:color="000000"/>
              <w:bottom w:val="single" w:sz="8" w:space="0" w:color="000000"/>
              <w:right w:val="single" w:sz="8" w:space="0" w:color="000000"/>
            </w:tcBorders>
          </w:tcPr>
          <w:p w14:paraId="6A05150F" w14:textId="77777777" w:rsidR="00CA51AD" w:rsidRDefault="008703C1" w:rsidP="008355F9">
            <w:pPr>
              <w:spacing w:after="160" w:line="276" w:lineRule="auto"/>
              <w:ind w:right="29"/>
              <w:jc w:val="center"/>
            </w:pPr>
            <w:r>
              <w:t xml:space="preserve">TSLA </w:t>
            </w:r>
          </w:p>
        </w:tc>
        <w:tc>
          <w:tcPr>
            <w:tcW w:w="1860" w:type="dxa"/>
            <w:tcBorders>
              <w:top w:val="single" w:sz="8" w:space="0" w:color="000000"/>
              <w:left w:val="single" w:sz="8" w:space="0" w:color="000000"/>
              <w:bottom w:val="single" w:sz="8" w:space="0" w:color="000000"/>
              <w:right w:val="single" w:sz="8" w:space="0" w:color="000000"/>
            </w:tcBorders>
          </w:tcPr>
          <w:p w14:paraId="6005CFDE" w14:textId="77777777" w:rsidR="00CA51AD" w:rsidRDefault="008703C1" w:rsidP="008355F9">
            <w:pPr>
              <w:spacing w:after="160" w:line="276" w:lineRule="auto"/>
              <w:ind w:right="39"/>
              <w:jc w:val="center"/>
            </w:pPr>
            <w:r>
              <w:t xml:space="preserve">2.18% </w:t>
            </w:r>
          </w:p>
        </w:tc>
        <w:tc>
          <w:tcPr>
            <w:tcW w:w="1860" w:type="dxa"/>
            <w:tcBorders>
              <w:top w:val="single" w:sz="8" w:space="0" w:color="000000"/>
              <w:left w:val="single" w:sz="8" w:space="0" w:color="000000"/>
              <w:bottom w:val="single" w:sz="8" w:space="0" w:color="000000"/>
              <w:right w:val="single" w:sz="8" w:space="0" w:color="000000"/>
            </w:tcBorders>
            <w:vAlign w:val="center"/>
          </w:tcPr>
          <w:p w14:paraId="5A04554F" w14:textId="77777777" w:rsidR="00CA51AD" w:rsidRDefault="008703C1" w:rsidP="008355F9">
            <w:pPr>
              <w:spacing w:after="160" w:line="276" w:lineRule="auto"/>
              <w:ind w:left="459" w:hanging="86"/>
            </w:pPr>
            <w:r>
              <w:t xml:space="preserve">Consumer Cyclical </w:t>
            </w:r>
          </w:p>
        </w:tc>
      </w:tr>
      <w:tr w:rsidR="00CA51AD" w14:paraId="490FE2BD" w14:textId="77777777">
        <w:trPr>
          <w:trHeight w:val="720"/>
        </w:trPr>
        <w:tc>
          <w:tcPr>
            <w:tcW w:w="1860" w:type="dxa"/>
            <w:tcBorders>
              <w:top w:val="single" w:sz="8" w:space="0" w:color="000000"/>
              <w:left w:val="single" w:sz="8" w:space="0" w:color="000000"/>
              <w:bottom w:val="single" w:sz="8" w:space="0" w:color="000000"/>
              <w:right w:val="single" w:sz="8" w:space="0" w:color="000000"/>
            </w:tcBorders>
          </w:tcPr>
          <w:p w14:paraId="68ABE971" w14:textId="77777777" w:rsidR="00CA51AD" w:rsidRDefault="008703C1" w:rsidP="008355F9">
            <w:pPr>
              <w:spacing w:after="160" w:line="276" w:lineRule="auto"/>
              <w:ind w:right="39"/>
              <w:jc w:val="center"/>
            </w:pPr>
            <w:r>
              <w:t xml:space="preserve">9 </w:t>
            </w:r>
          </w:p>
        </w:tc>
        <w:tc>
          <w:tcPr>
            <w:tcW w:w="2240" w:type="dxa"/>
            <w:tcBorders>
              <w:top w:val="single" w:sz="8" w:space="0" w:color="000000"/>
              <w:left w:val="single" w:sz="8" w:space="0" w:color="000000"/>
              <w:bottom w:val="single" w:sz="8" w:space="0" w:color="000000"/>
              <w:right w:val="single" w:sz="8" w:space="0" w:color="000000"/>
            </w:tcBorders>
          </w:tcPr>
          <w:p w14:paraId="26277562" w14:textId="77777777" w:rsidR="00CA51AD" w:rsidRDefault="008703C1" w:rsidP="008355F9">
            <w:pPr>
              <w:spacing w:after="160" w:line="276" w:lineRule="auto"/>
            </w:pPr>
            <w:r>
              <w:t xml:space="preserve">Alphabet Inc. (Class C) </w:t>
            </w:r>
          </w:p>
        </w:tc>
        <w:tc>
          <w:tcPr>
            <w:tcW w:w="1480" w:type="dxa"/>
            <w:tcBorders>
              <w:top w:val="single" w:sz="8" w:space="0" w:color="000000"/>
              <w:left w:val="single" w:sz="8" w:space="0" w:color="000000"/>
              <w:bottom w:val="single" w:sz="8" w:space="0" w:color="000000"/>
              <w:right w:val="single" w:sz="8" w:space="0" w:color="000000"/>
            </w:tcBorders>
          </w:tcPr>
          <w:p w14:paraId="52CF0891" w14:textId="77777777" w:rsidR="00CA51AD" w:rsidRDefault="008703C1" w:rsidP="008355F9">
            <w:pPr>
              <w:spacing w:after="160" w:line="276" w:lineRule="auto"/>
              <w:ind w:right="29"/>
              <w:jc w:val="center"/>
            </w:pPr>
            <w:r>
              <w:t xml:space="preserve">GOOG </w:t>
            </w:r>
          </w:p>
        </w:tc>
        <w:tc>
          <w:tcPr>
            <w:tcW w:w="1860" w:type="dxa"/>
            <w:tcBorders>
              <w:top w:val="single" w:sz="8" w:space="0" w:color="000000"/>
              <w:left w:val="single" w:sz="8" w:space="0" w:color="000000"/>
              <w:bottom w:val="single" w:sz="8" w:space="0" w:color="000000"/>
              <w:right w:val="single" w:sz="8" w:space="0" w:color="000000"/>
            </w:tcBorders>
          </w:tcPr>
          <w:p w14:paraId="6B8885F4" w14:textId="77777777" w:rsidR="00CA51AD" w:rsidRDefault="008703C1" w:rsidP="008355F9">
            <w:pPr>
              <w:spacing w:after="160" w:line="276" w:lineRule="auto"/>
              <w:ind w:right="39"/>
              <w:jc w:val="center"/>
            </w:pPr>
            <w:r>
              <w:t xml:space="preserve">1.99% </w:t>
            </w:r>
          </w:p>
        </w:tc>
        <w:tc>
          <w:tcPr>
            <w:tcW w:w="1860" w:type="dxa"/>
            <w:tcBorders>
              <w:top w:val="single" w:sz="8" w:space="0" w:color="000000"/>
              <w:left w:val="single" w:sz="8" w:space="0" w:color="000000"/>
              <w:bottom w:val="single" w:sz="8" w:space="0" w:color="000000"/>
              <w:right w:val="single" w:sz="8" w:space="0" w:color="000000"/>
            </w:tcBorders>
          </w:tcPr>
          <w:p w14:paraId="6F87D554" w14:textId="77777777" w:rsidR="00CA51AD" w:rsidRDefault="008703C1" w:rsidP="008355F9">
            <w:pPr>
              <w:spacing w:after="160" w:line="276" w:lineRule="auto"/>
              <w:ind w:left="453" w:hanging="336"/>
            </w:pPr>
            <w:r>
              <w:t xml:space="preserve">Communication Services </w:t>
            </w:r>
          </w:p>
        </w:tc>
      </w:tr>
      <w:tr w:rsidR="00CA51AD" w14:paraId="2C091A25" w14:textId="77777777">
        <w:trPr>
          <w:trHeight w:val="740"/>
        </w:trPr>
        <w:tc>
          <w:tcPr>
            <w:tcW w:w="1860" w:type="dxa"/>
            <w:tcBorders>
              <w:top w:val="single" w:sz="8" w:space="0" w:color="000000"/>
              <w:left w:val="single" w:sz="8" w:space="0" w:color="000000"/>
              <w:bottom w:val="single" w:sz="8" w:space="0" w:color="000000"/>
              <w:right w:val="single" w:sz="8" w:space="0" w:color="000000"/>
            </w:tcBorders>
          </w:tcPr>
          <w:p w14:paraId="017A43CE" w14:textId="77777777" w:rsidR="00CA51AD" w:rsidRDefault="008703C1" w:rsidP="008355F9">
            <w:pPr>
              <w:spacing w:after="160" w:line="276" w:lineRule="auto"/>
              <w:ind w:right="39"/>
              <w:jc w:val="center"/>
            </w:pPr>
            <w:r>
              <w:t xml:space="preserve">10 </w:t>
            </w:r>
          </w:p>
        </w:tc>
        <w:tc>
          <w:tcPr>
            <w:tcW w:w="2240" w:type="dxa"/>
            <w:tcBorders>
              <w:top w:val="single" w:sz="8" w:space="0" w:color="000000"/>
              <w:left w:val="single" w:sz="8" w:space="0" w:color="000000"/>
              <w:bottom w:val="single" w:sz="8" w:space="0" w:color="000000"/>
              <w:right w:val="single" w:sz="8" w:space="0" w:color="000000"/>
            </w:tcBorders>
            <w:vAlign w:val="center"/>
          </w:tcPr>
          <w:p w14:paraId="4A87F2D4" w14:textId="77777777" w:rsidR="00CA51AD" w:rsidRDefault="008703C1" w:rsidP="008355F9">
            <w:pPr>
              <w:spacing w:after="160" w:line="276" w:lineRule="auto"/>
            </w:pPr>
            <w:r>
              <w:t xml:space="preserve">Berkshire Hathaway Inc. (Class B) </w:t>
            </w:r>
          </w:p>
        </w:tc>
        <w:tc>
          <w:tcPr>
            <w:tcW w:w="1480" w:type="dxa"/>
            <w:tcBorders>
              <w:top w:val="single" w:sz="8" w:space="0" w:color="000000"/>
              <w:left w:val="single" w:sz="8" w:space="0" w:color="000000"/>
              <w:bottom w:val="single" w:sz="8" w:space="0" w:color="000000"/>
              <w:right w:val="single" w:sz="8" w:space="0" w:color="000000"/>
            </w:tcBorders>
          </w:tcPr>
          <w:p w14:paraId="5C7B834F" w14:textId="77777777" w:rsidR="00CA51AD" w:rsidRDefault="008703C1" w:rsidP="008355F9">
            <w:pPr>
              <w:spacing w:after="160" w:line="276" w:lineRule="auto"/>
              <w:ind w:right="29"/>
              <w:jc w:val="center"/>
            </w:pPr>
            <w:r>
              <w:t xml:space="preserve">BRK-B </w:t>
            </w:r>
          </w:p>
        </w:tc>
        <w:tc>
          <w:tcPr>
            <w:tcW w:w="1860" w:type="dxa"/>
            <w:tcBorders>
              <w:top w:val="single" w:sz="8" w:space="0" w:color="000000"/>
              <w:left w:val="single" w:sz="8" w:space="0" w:color="000000"/>
              <w:bottom w:val="single" w:sz="8" w:space="0" w:color="000000"/>
              <w:right w:val="single" w:sz="8" w:space="0" w:color="000000"/>
            </w:tcBorders>
          </w:tcPr>
          <w:p w14:paraId="09696045" w14:textId="77777777" w:rsidR="00CA51AD" w:rsidRDefault="008703C1" w:rsidP="008355F9">
            <w:pPr>
              <w:spacing w:after="160" w:line="276" w:lineRule="auto"/>
              <w:ind w:right="39"/>
              <w:jc w:val="center"/>
            </w:pPr>
            <w:r>
              <w:t xml:space="preserve">1.61% </w:t>
            </w:r>
          </w:p>
        </w:tc>
        <w:tc>
          <w:tcPr>
            <w:tcW w:w="1860" w:type="dxa"/>
            <w:tcBorders>
              <w:top w:val="single" w:sz="8" w:space="0" w:color="000000"/>
              <w:left w:val="single" w:sz="8" w:space="0" w:color="000000"/>
              <w:bottom w:val="single" w:sz="8" w:space="0" w:color="000000"/>
              <w:right w:val="single" w:sz="8" w:space="0" w:color="000000"/>
            </w:tcBorders>
          </w:tcPr>
          <w:p w14:paraId="2A9EE021" w14:textId="77777777" w:rsidR="00CA51AD" w:rsidRDefault="008703C1" w:rsidP="008355F9">
            <w:pPr>
              <w:keepNext/>
              <w:spacing w:after="160" w:line="276" w:lineRule="auto"/>
              <w:ind w:left="16"/>
            </w:pPr>
            <w:r>
              <w:t xml:space="preserve">Financial Services </w:t>
            </w:r>
          </w:p>
        </w:tc>
      </w:tr>
    </w:tbl>
    <w:p w14:paraId="1E600E4B" w14:textId="40BE13C8" w:rsidR="00D403CF" w:rsidRDefault="00D403CF" w:rsidP="005E523F">
      <w:pPr>
        <w:pStyle w:val="Caption"/>
        <w:spacing w:after="160" w:line="480" w:lineRule="auto"/>
        <w:jc w:val="center"/>
      </w:pPr>
      <w:bookmarkStart w:id="4" w:name="_Toc213247486"/>
      <w:r>
        <w:t xml:space="preserve">Figure </w:t>
      </w:r>
      <w:r>
        <w:fldChar w:fldCharType="begin"/>
      </w:r>
      <w:r>
        <w:instrText xml:space="preserve"> SEQ Figure \* ARABIC </w:instrText>
      </w:r>
      <w:r>
        <w:fldChar w:fldCharType="separate"/>
      </w:r>
      <w:r w:rsidR="00D47095">
        <w:rPr>
          <w:noProof/>
        </w:rPr>
        <w:t>2</w:t>
      </w:r>
      <w:r>
        <w:fldChar w:fldCharType="end"/>
      </w:r>
      <w:r>
        <w:t>: VF</w:t>
      </w:r>
      <w:r w:rsidR="00E14C78">
        <w:t>IA</w:t>
      </w:r>
      <w:r>
        <w:t>X's holdings</w:t>
      </w:r>
      <w:bookmarkEnd w:id="4"/>
    </w:p>
    <w:p w14:paraId="2C21F43E" w14:textId="2E480A1B" w:rsidR="00CA51AD" w:rsidRPr="00012A03" w:rsidRDefault="008703C1" w:rsidP="005E523F">
      <w:pPr>
        <w:ind w:left="-5" w:right="108" w:hanging="10"/>
        <w:rPr>
          <w:sz w:val="24"/>
        </w:rPr>
      </w:pPr>
      <w:r w:rsidRPr="00012A03">
        <w:rPr>
          <w:sz w:val="24"/>
        </w:rPr>
        <w:t xml:space="preserve">The concentration in technology with NVIDIA, Microsoft, Apple, and Broadcom together representing over 23% of the fund reflects the sector's dominance in the U.S. equity market. However, the portfolio also includes representation from consumer cyclicals (Amazon, Tesla), communication services (Meta, Alphabet), and financials (Berkshire Hathaway), providing some diversification even within the top holdings. </w:t>
      </w:r>
      <w:r w:rsidRPr="00012A03">
        <w:rPr>
          <w:sz w:val="24"/>
        </w:rPr>
        <w:t xml:space="preserve"> </w:t>
      </w:r>
    </w:p>
    <w:p w14:paraId="2DA3BBC7" w14:textId="65A70C1A" w:rsidR="00CA51AD" w:rsidRPr="00012A03" w:rsidRDefault="008703C1" w:rsidP="002D3A3A">
      <w:pPr>
        <w:pStyle w:val="Headings"/>
      </w:pPr>
      <w:bookmarkStart w:id="5" w:name="_Toc213247479"/>
      <w:r w:rsidRPr="00012A03">
        <w:t xml:space="preserve">Investment </w:t>
      </w:r>
      <w:r w:rsidR="007743F3" w:rsidRPr="00012A03">
        <w:t>h</w:t>
      </w:r>
      <w:r w:rsidRPr="00012A03">
        <w:t>orizon and Performance</w:t>
      </w:r>
      <w:bookmarkEnd w:id="5"/>
    </w:p>
    <w:p w14:paraId="7D677F2E" w14:textId="7CC26E24" w:rsidR="00CA51AD" w:rsidRPr="00012A03" w:rsidRDefault="008703C1" w:rsidP="005E523F">
      <w:pPr>
        <w:ind w:left="-5" w:right="108"/>
        <w:rPr>
          <w:sz w:val="24"/>
        </w:rPr>
      </w:pPr>
      <w:r w:rsidRPr="00012A03">
        <w:rPr>
          <w:sz w:val="24"/>
        </w:rPr>
        <w:t xml:space="preserve">VFIAX is designed for long-term investors with a time horizon exceeding five years. As a core </w:t>
      </w:r>
      <w:proofErr w:type="gramStart"/>
      <w:r w:rsidRPr="00012A03">
        <w:rPr>
          <w:sz w:val="24"/>
        </w:rPr>
        <w:t>large-cap</w:t>
      </w:r>
      <w:proofErr w:type="gramEnd"/>
      <w:r w:rsidRPr="00012A03">
        <w:rPr>
          <w:sz w:val="24"/>
        </w:rPr>
        <w:t xml:space="preserve"> holding, the fund provides broad exposure to the U.S. equity market without attempting to time market movements or rotate between sectors. </w:t>
      </w:r>
    </w:p>
    <w:p w14:paraId="06870944" w14:textId="6A8378CE" w:rsidR="00CA51AD" w:rsidRPr="00012A03" w:rsidRDefault="008703C1" w:rsidP="005E523F">
      <w:pPr>
        <w:ind w:left="-5"/>
        <w:rPr>
          <w:sz w:val="24"/>
        </w:rPr>
      </w:pPr>
      <w:r w:rsidRPr="00012A03">
        <w:rPr>
          <w:b/>
          <w:sz w:val="24"/>
        </w:rPr>
        <w:t xml:space="preserve">Performance </w:t>
      </w:r>
      <w:r w:rsidR="007743F3" w:rsidRPr="00012A03">
        <w:rPr>
          <w:b/>
          <w:sz w:val="24"/>
        </w:rPr>
        <w:t>a</w:t>
      </w:r>
      <w:r w:rsidRPr="00012A03">
        <w:rPr>
          <w:b/>
          <w:sz w:val="24"/>
        </w:rPr>
        <w:t xml:space="preserve">nalysis: </w:t>
      </w:r>
    </w:p>
    <w:p w14:paraId="2CC9C3BA" w14:textId="00F85F27" w:rsidR="007A7637" w:rsidRPr="007611DF" w:rsidRDefault="008703C1" w:rsidP="007611DF">
      <w:pPr>
        <w:ind w:left="-5" w:right="108"/>
        <w:rPr>
          <w:sz w:val="24"/>
        </w:rPr>
      </w:pPr>
      <w:r w:rsidRPr="00012A03">
        <w:rPr>
          <w:sz w:val="24"/>
        </w:rPr>
        <w:t xml:space="preserve">The table below shows VFIAX's historical performance across multiple timeframes as of October 31, 2025: </w:t>
      </w:r>
    </w:p>
    <w:tbl>
      <w:tblPr>
        <w:tblStyle w:val="TableGrid"/>
        <w:tblW w:w="9300" w:type="dxa"/>
        <w:tblInd w:w="10" w:type="dxa"/>
        <w:tblCellMar>
          <w:top w:w="166" w:type="dxa"/>
          <w:left w:w="95" w:type="dxa"/>
          <w:right w:w="115" w:type="dxa"/>
        </w:tblCellMar>
        <w:tblLook w:val="04A0" w:firstRow="1" w:lastRow="0" w:firstColumn="1" w:lastColumn="0" w:noHBand="0" w:noVBand="1"/>
      </w:tblPr>
      <w:tblGrid>
        <w:gridCol w:w="1860"/>
        <w:gridCol w:w="1860"/>
        <w:gridCol w:w="1860"/>
        <w:gridCol w:w="1860"/>
        <w:gridCol w:w="1860"/>
      </w:tblGrid>
      <w:tr w:rsidR="00CA51AD" w14:paraId="719246E3" w14:textId="77777777">
        <w:trPr>
          <w:trHeight w:val="980"/>
        </w:trPr>
        <w:tc>
          <w:tcPr>
            <w:tcW w:w="1860" w:type="dxa"/>
            <w:tcBorders>
              <w:top w:val="single" w:sz="8" w:space="0" w:color="000000"/>
              <w:left w:val="single" w:sz="8" w:space="0" w:color="000000"/>
              <w:bottom w:val="single" w:sz="8" w:space="0" w:color="000000"/>
              <w:right w:val="single" w:sz="8" w:space="0" w:color="000000"/>
            </w:tcBorders>
          </w:tcPr>
          <w:p w14:paraId="613DD780" w14:textId="77777777" w:rsidR="00CA51AD" w:rsidRDefault="008703C1" w:rsidP="008355F9">
            <w:pPr>
              <w:spacing w:after="160" w:line="276" w:lineRule="auto"/>
            </w:pPr>
            <w:r>
              <w:rPr>
                <w:b/>
              </w:rPr>
              <w:t xml:space="preserve">Period </w:t>
            </w:r>
          </w:p>
        </w:tc>
        <w:tc>
          <w:tcPr>
            <w:tcW w:w="1860" w:type="dxa"/>
            <w:tcBorders>
              <w:top w:val="single" w:sz="8" w:space="0" w:color="000000"/>
              <w:left w:val="single" w:sz="8" w:space="0" w:color="000000"/>
              <w:bottom w:val="single" w:sz="8" w:space="0" w:color="000000"/>
              <w:right w:val="single" w:sz="8" w:space="0" w:color="000000"/>
            </w:tcBorders>
          </w:tcPr>
          <w:p w14:paraId="1C8140B7" w14:textId="77777777" w:rsidR="00CA51AD" w:rsidRDefault="008703C1" w:rsidP="008355F9">
            <w:pPr>
              <w:spacing w:after="160" w:line="276" w:lineRule="auto"/>
            </w:pPr>
            <w:r>
              <w:rPr>
                <w:b/>
              </w:rPr>
              <w:t xml:space="preserve">Date </w:t>
            </w:r>
          </w:p>
        </w:tc>
        <w:tc>
          <w:tcPr>
            <w:tcW w:w="1860" w:type="dxa"/>
            <w:tcBorders>
              <w:top w:val="single" w:sz="8" w:space="0" w:color="000000"/>
              <w:left w:val="single" w:sz="8" w:space="0" w:color="000000"/>
              <w:bottom w:val="single" w:sz="8" w:space="0" w:color="000000"/>
              <w:right w:val="single" w:sz="8" w:space="0" w:color="000000"/>
            </w:tcBorders>
          </w:tcPr>
          <w:p w14:paraId="259C5F95" w14:textId="77777777" w:rsidR="00CA51AD" w:rsidRDefault="008703C1" w:rsidP="008355F9">
            <w:pPr>
              <w:spacing w:after="160" w:line="276" w:lineRule="auto"/>
            </w:pPr>
            <w:r>
              <w:rPr>
                <w:b/>
              </w:rPr>
              <w:t xml:space="preserve">Price </w:t>
            </w:r>
          </w:p>
        </w:tc>
        <w:tc>
          <w:tcPr>
            <w:tcW w:w="1860" w:type="dxa"/>
            <w:tcBorders>
              <w:top w:val="single" w:sz="8" w:space="0" w:color="000000"/>
              <w:left w:val="single" w:sz="8" w:space="0" w:color="000000"/>
              <w:bottom w:val="single" w:sz="8" w:space="0" w:color="000000"/>
              <w:right w:val="single" w:sz="8" w:space="0" w:color="000000"/>
            </w:tcBorders>
          </w:tcPr>
          <w:p w14:paraId="7B0BAC52" w14:textId="77777777" w:rsidR="00CA51AD" w:rsidRDefault="008703C1" w:rsidP="008355F9">
            <w:pPr>
              <w:spacing w:after="160" w:line="276" w:lineRule="auto"/>
            </w:pPr>
            <w:r>
              <w:rPr>
                <w:b/>
              </w:rPr>
              <w:t xml:space="preserve">Annualized </w:t>
            </w:r>
          </w:p>
          <w:p w14:paraId="09DEB3CA" w14:textId="77777777" w:rsidR="00CA51AD" w:rsidRDefault="008703C1" w:rsidP="008355F9">
            <w:pPr>
              <w:spacing w:after="160" w:line="276" w:lineRule="auto"/>
            </w:pPr>
            <w:r>
              <w:rPr>
                <w:b/>
              </w:rPr>
              <w:t xml:space="preserve">Return (Before </w:t>
            </w:r>
          </w:p>
          <w:p w14:paraId="3FA3F25F" w14:textId="77777777" w:rsidR="00CA51AD" w:rsidRDefault="008703C1" w:rsidP="008355F9">
            <w:pPr>
              <w:spacing w:after="160" w:line="276" w:lineRule="auto"/>
            </w:pPr>
            <w:r>
              <w:rPr>
                <w:b/>
              </w:rPr>
              <w:t xml:space="preserve">Fees) </w:t>
            </w:r>
          </w:p>
        </w:tc>
        <w:tc>
          <w:tcPr>
            <w:tcW w:w="1860" w:type="dxa"/>
            <w:tcBorders>
              <w:top w:val="single" w:sz="8" w:space="0" w:color="000000"/>
              <w:left w:val="single" w:sz="8" w:space="0" w:color="000000"/>
              <w:bottom w:val="single" w:sz="8" w:space="0" w:color="000000"/>
              <w:right w:val="single" w:sz="8" w:space="0" w:color="000000"/>
            </w:tcBorders>
          </w:tcPr>
          <w:p w14:paraId="0F9603E0" w14:textId="77777777" w:rsidR="00CA51AD" w:rsidRDefault="008703C1" w:rsidP="008355F9">
            <w:pPr>
              <w:spacing w:after="160" w:line="276" w:lineRule="auto"/>
            </w:pPr>
            <w:r>
              <w:rPr>
                <w:b/>
              </w:rPr>
              <w:t xml:space="preserve">Annualized </w:t>
            </w:r>
          </w:p>
          <w:p w14:paraId="091F684B" w14:textId="77777777" w:rsidR="00CA51AD" w:rsidRDefault="008703C1" w:rsidP="008355F9">
            <w:pPr>
              <w:spacing w:after="160" w:line="276" w:lineRule="auto"/>
            </w:pPr>
            <w:r>
              <w:rPr>
                <w:b/>
              </w:rPr>
              <w:t xml:space="preserve">Return (After </w:t>
            </w:r>
          </w:p>
          <w:p w14:paraId="14F0B667" w14:textId="77777777" w:rsidR="00CA51AD" w:rsidRDefault="008703C1" w:rsidP="008355F9">
            <w:pPr>
              <w:spacing w:after="160" w:line="276" w:lineRule="auto"/>
            </w:pPr>
            <w:r>
              <w:rPr>
                <w:b/>
              </w:rPr>
              <w:t xml:space="preserve">Fees) </w:t>
            </w:r>
          </w:p>
        </w:tc>
      </w:tr>
      <w:tr w:rsidR="00CA51AD" w14:paraId="4E8C29B4"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13B65885" w14:textId="77777777" w:rsidR="00CA51AD" w:rsidRDefault="008703C1" w:rsidP="008355F9">
            <w:pPr>
              <w:spacing w:after="160" w:line="276" w:lineRule="auto"/>
            </w:pPr>
            <w:r>
              <w:t xml:space="preserve">Current </w:t>
            </w:r>
          </w:p>
        </w:tc>
        <w:tc>
          <w:tcPr>
            <w:tcW w:w="1860" w:type="dxa"/>
            <w:tcBorders>
              <w:top w:val="single" w:sz="8" w:space="0" w:color="000000"/>
              <w:left w:val="single" w:sz="8" w:space="0" w:color="000000"/>
              <w:bottom w:val="single" w:sz="8" w:space="0" w:color="000000"/>
              <w:right w:val="single" w:sz="8" w:space="0" w:color="000000"/>
            </w:tcBorders>
            <w:vAlign w:val="center"/>
          </w:tcPr>
          <w:p w14:paraId="556EA914" w14:textId="77777777" w:rsidR="00CA51AD" w:rsidRDefault="008703C1" w:rsidP="008355F9">
            <w:pPr>
              <w:spacing w:after="160" w:line="276" w:lineRule="auto"/>
            </w:pPr>
            <w:r>
              <w:t xml:space="preserve">10/31/2025 </w:t>
            </w:r>
          </w:p>
        </w:tc>
        <w:tc>
          <w:tcPr>
            <w:tcW w:w="1860" w:type="dxa"/>
            <w:tcBorders>
              <w:top w:val="single" w:sz="8" w:space="0" w:color="000000"/>
              <w:left w:val="single" w:sz="8" w:space="0" w:color="000000"/>
              <w:bottom w:val="single" w:sz="8" w:space="0" w:color="000000"/>
              <w:right w:val="single" w:sz="8" w:space="0" w:color="000000"/>
            </w:tcBorders>
            <w:vAlign w:val="center"/>
          </w:tcPr>
          <w:p w14:paraId="1159380A" w14:textId="77777777" w:rsidR="00CA51AD" w:rsidRDefault="008703C1" w:rsidP="008355F9">
            <w:pPr>
              <w:spacing w:after="160" w:line="276" w:lineRule="auto"/>
            </w:pPr>
            <w:r>
              <w:t xml:space="preserve">631.72 </w:t>
            </w:r>
          </w:p>
        </w:tc>
        <w:tc>
          <w:tcPr>
            <w:tcW w:w="1860" w:type="dxa"/>
            <w:tcBorders>
              <w:top w:val="single" w:sz="8" w:space="0" w:color="000000"/>
              <w:left w:val="single" w:sz="8" w:space="0" w:color="000000"/>
              <w:bottom w:val="single" w:sz="8" w:space="0" w:color="000000"/>
              <w:right w:val="single" w:sz="8" w:space="0" w:color="000000"/>
            </w:tcBorders>
            <w:vAlign w:val="center"/>
          </w:tcPr>
          <w:p w14:paraId="26C78DF5" w14:textId="77777777" w:rsidR="00CA51AD" w:rsidRDefault="008703C1" w:rsidP="008355F9">
            <w:pPr>
              <w:spacing w:after="160" w:line="276" w:lineRule="auto"/>
            </w:pPr>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509DBDEE" w14:textId="77777777" w:rsidR="00CA51AD" w:rsidRDefault="008703C1" w:rsidP="008355F9">
            <w:pPr>
              <w:spacing w:after="160" w:line="276" w:lineRule="auto"/>
            </w:pPr>
            <w:r>
              <w:t xml:space="preserve"> </w:t>
            </w:r>
          </w:p>
        </w:tc>
      </w:tr>
      <w:tr w:rsidR="00CA51AD" w14:paraId="10BB4DA2"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7228BAD9" w14:textId="77777777" w:rsidR="00CA51AD" w:rsidRDefault="008703C1" w:rsidP="008355F9">
            <w:pPr>
              <w:spacing w:after="160" w:line="276" w:lineRule="auto"/>
            </w:pPr>
            <w:r>
              <w:t xml:space="preserve">1 Year </w:t>
            </w:r>
            <w:proofErr w:type="gramStart"/>
            <w:r>
              <w:t>Ago</w:t>
            </w:r>
            <w:proofErr w:type="gramEnd"/>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1F951C95" w14:textId="77777777" w:rsidR="00CA51AD" w:rsidRDefault="008703C1" w:rsidP="008355F9">
            <w:pPr>
              <w:spacing w:after="160" w:line="276" w:lineRule="auto"/>
            </w:pPr>
            <w:r>
              <w:t xml:space="preserve">10/31/2024 </w:t>
            </w:r>
          </w:p>
        </w:tc>
        <w:tc>
          <w:tcPr>
            <w:tcW w:w="1860" w:type="dxa"/>
            <w:tcBorders>
              <w:top w:val="single" w:sz="8" w:space="0" w:color="000000"/>
              <w:left w:val="single" w:sz="8" w:space="0" w:color="000000"/>
              <w:bottom w:val="single" w:sz="8" w:space="0" w:color="000000"/>
              <w:right w:val="single" w:sz="8" w:space="0" w:color="000000"/>
            </w:tcBorders>
            <w:vAlign w:val="center"/>
          </w:tcPr>
          <w:p w14:paraId="36763C72" w14:textId="77777777" w:rsidR="00CA51AD" w:rsidRDefault="008703C1" w:rsidP="008355F9">
            <w:pPr>
              <w:spacing w:after="160" w:line="276" w:lineRule="auto"/>
            </w:pPr>
            <w:r>
              <w:t xml:space="preserve">520.3376 </w:t>
            </w:r>
          </w:p>
        </w:tc>
        <w:tc>
          <w:tcPr>
            <w:tcW w:w="1860" w:type="dxa"/>
            <w:tcBorders>
              <w:top w:val="single" w:sz="8" w:space="0" w:color="000000"/>
              <w:left w:val="single" w:sz="8" w:space="0" w:color="000000"/>
              <w:bottom w:val="single" w:sz="8" w:space="0" w:color="000000"/>
              <w:right w:val="single" w:sz="8" w:space="0" w:color="000000"/>
            </w:tcBorders>
            <w:vAlign w:val="center"/>
          </w:tcPr>
          <w:p w14:paraId="70F9C3B8" w14:textId="77777777" w:rsidR="00CA51AD" w:rsidRDefault="008703C1" w:rsidP="008355F9">
            <w:pPr>
              <w:spacing w:after="160" w:line="276" w:lineRule="auto"/>
            </w:pPr>
            <w:r>
              <w:t xml:space="preserve">17.60% </w:t>
            </w:r>
          </w:p>
        </w:tc>
        <w:tc>
          <w:tcPr>
            <w:tcW w:w="1860" w:type="dxa"/>
            <w:tcBorders>
              <w:top w:val="single" w:sz="8" w:space="0" w:color="000000"/>
              <w:left w:val="single" w:sz="8" w:space="0" w:color="000000"/>
              <w:bottom w:val="single" w:sz="8" w:space="0" w:color="000000"/>
              <w:right w:val="single" w:sz="8" w:space="0" w:color="000000"/>
            </w:tcBorders>
            <w:vAlign w:val="center"/>
          </w:tcPr>
          <w:p w14:paraId="38D64FAC" w14:textId="77777777" w:rsidR="00CA51AD" w:rsidRDefault="008703C1" w:rsidP="008355F9">
            <w:pPr>
              <w:spacing w:after="160" w:line="276" w:lineRule="auto"/>
            </w:pPr>
            <w:r>
              <w:t xml:space="preserve">17.55% </w:t>
            </w:r>
          </w:p>
        </w:tc>
      </w:tr>
      <w:tr w:rsidR="00CA51AD" w14:paraId="6913DFD0"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7C9DF2A6" w14:textId="77777777" w:rsidR="00CA51AD" w:rsidRDefault="008703C1" w:rsidP="008355F9">
            <w:pPr>
              <w:spacing w:after="160" w:line="276" w:lineRule="auto"/>
            </w:pPr>
            <w:r>
              <w:t xml:space="preserve">3 Years </w:t>
            </w:r>
            <w:proofErr w:type="gramStart"/>
            <w:r>
              <w:t>Ago</w:t>
            </w:r>
            <w:proofErr w:type="gramEnd"/>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5272D05A" w14:textId="77777777" w:rsidR="00CA51AD" w:rsidRDefault="008703C1" w:rsidP="008355F9">
            <w:pPr>
              <w:spacing w:after="160" w:line="276" w:lineRule="auto"/>
            </w:pPr>
            <w:r>
              <w:t xml:space="preserve">10/31/2022 </w:t>
            </w:r>
          </w:p>
        </w:tc>
        <w:tc>
          <w:tcPr>
            <w:tcW w:w="1860" w:type="dxa"/>
            <w:tcBorders>
              <w:top w:val="single" w:sz="8" w:space="0" w:color="000000"/>
              <w:left w:val="single" w:sz="8" w:space="0" w:color="000000"/>
              <w:bottom w:val="single" w:sz="8" w:space="0" w:color="000000"/>
              <w:right w:val="single" w:sz="8" w:space="0" w:color="000000"/>
            </w:tcBorders>
            <w:vAlign w:val="center"/>
          </w:tcPr>
          <w:p w14:paraId="19AFE4E3" w14:textId="77777777" w:rsidR="00CA51AD" w:rsidRDefault="008703C1" w:rsidP="008355F9">
            <w:pPr>
              <w:spacing w:after="160" w:line="276" w:lineRule="auto"/>
            </w:pPr>
            <w:r>
              <w:t xml:space="preserve">342.5843 </w:t>
            </w:r>
          </w:p>
        </w:tc>
        <w:tc>
          <w:tcPr>
            <w:tcW w:w="1860" w:type="dxa"/>
            <w:tcBorders>
              <w:top w:val="single" w:sz="8" w:space="0" w:color="000000"/>
              <w:left w:val="single" w:sz="8" w:space="0" w:color="000000"/>
              <w:bottom w:val="single" w:sz="8" w:space="0" w:color="000000"/>
              <w:right w:val="single" w:sz="8" w:space="0" w:color="000000"/>
            </w:tcBorders>
            <w:vAlign w:val="center"/>
          </w:tcPr>
          <w:p w14:paraId="0BECAA4A" w14:textId="77777777" w:rsidR="00CA51AD" w:rsidRDefault="008703C1" w:rsidP="008355F9">
            <w:pPr>
              <w:spacing w:after="160" w:line="276" w:lineRule="auto"/>
            </w:pPr>
            <w:r>
              <w:t xml:space="preserve">24.88% </w:t>
            </w:r>
          </w:p>
        </w:tc>
        <w:tc>
          <w:tcPr>
            <w:tcW w:w="1860" w:type="dxa"/>
            <w:tcBorders>
              <w:top w:val="single" w:sz="8" w:space="0" w:color="000000"/>
              <w:left w:val="single" w:sz="8" w:space="0" w:color="000000"/>
              <w:bottom w:val="single" w:sz="8" w:space="0" w:color="000000"/>
              <w:right w:val="single" w:sz="8" w:space="0" w:color="000000"/>
            </w:tcBorders>
            <w:vAlign w:val="center"/>
          </w:tcPr>
          <w:p w14:paraId="114D99D9" w14:textId="77777777" w:rsidR="00CA51AD" w:rsidRDefault="008703C1" w:rsidP="008355F9">
            <w:pPr>
              <w:spacing w:after="160" w:line="276" w:lineRule="auto"/>
            </w:pPr>
            <w:r>
              <w:t xml:space="preserve">24.45% </w:t>
            </w:r>
          </w:p>
        </w:tc>
      </w:tr>
      <w:tr w:rsidR="00CA51AD" w14:paraId="64A86AED"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3A7E216E" w14:textId="61943A30" w:rsidR="00CA51AD" w:rsidRDefault="008703C1" w:rsidP="008355F9">
            <w:pPr>
              <w:spacing w:after="160" w:line="276" w:lineRule="auto"/>
            </w:pPr>
            <w:r>
              <w:t xml:space="preserve">5 </w:t>
            </w:r>
            <w:r w:rsidR="002D3A3A">
              <w:t>y</w:t>
            </w:r>
            <w:r>
              <w:t xml:space="preserve">ears </w:t>
            </w:r>
            <w:proofErr w:type="gramStart"/>
            <w:r w:rsidR="002D3A3A">
              <w:t>a</w:t>
            </w:r>
            <w:r>
              <w:t>go</w:t>
            </w:r>
            <w:proofErr w:type="gramEnd"/>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13D53DE6" w14:textId="77777777" w:rsidR="00CA51AD" w:rsidRDefault="008703C1" w:rsidP="008355F9">
            <w:pPr>
              <w:spacing w:after="160" w:line="276" w:lineRule="auto"/>
            </w:pPr>
            <w:r>
              <w:t xml:space="preserve">10/31/2020 </w:t>
            </w:r>
          </w:p>
        </w:tc>
        <w:tc>
          <w:tcPr>
            <w:tcW w:w="1860" w:type="dxa"/>
            <w:tcBorders>
              <w:top w:val="single" w:sz="8" w:space="0" w:color="000000"/>
              <w:left w:val="single" w:sz="8" w:space="0" w:color="000000"/>
              <w:bottom w:val="single" w:sz="8" w:space="0" w:color="000000"/>
              <w:right w:val="single" w:sz="8" w:space="0" w:color="000000"/>
            </w:tcBorders>
            <w:vAlign w:val="center"/>
          </w:tcPr>
          <w:p w14:paraId="76B45839" w14:textId="77777777" w:rsidR="00CA51AD" w:rsidRDefault="008703C1" w:rsidP="008355F9">
            <w:pPr>
              <w:spacing w:after="160" w:line="276" w:lineRule="auto"/>
            </w:pPr>
            <w:r>
              <w:t xml:space="preserve">280.9879 </w:t>
            </w:r>
          </w:p>
        </w:tc>
        <w:tc>
          <w:tcPr>
            <w:tcW w:w="1860" w:type="dxa"/>
            <w:tcBorders>
              <w:top w:val="single" w:sz="8" w:space="0" w:color="000000"/>
              <w:left w:val="single" w:sz="8" w:space="0" w:color="000000"/>
              <w:bottom w:val="single" w:sz="8" w:space="0" w:color="000000"/>
              <w:right w:val="single" w:sz="8" w:space="0" w:color="000000"/>
            </w:tcBorders>
            <w:vAlign w:val="center"/>
          </w:tcPr>
          <w:p w14:paraId="7FA98155" w14:textId="77777777" w:rsidR="00CA51AD" w:rsidRDefault="008703C1" w:rsidP="008355F9">
            <w:pPr>
              <w:spacing w:after="160" w:line="276" w:lineRule="auto"/>
            </w:pPr>
            <w:r>
              <w:t xml:space="preserve">16.42% </w:t>
            </w:r>
          </w:p>
        </w:tc>
        <w:tc>
          <w:tcPr>
            <w:tcW w:w="1860" w:type="dxa"/>
            <w:tcBorders>
              <w:top w:val="single" w:sz="8" w:space="0" w:color="000000"/>
              <w:left w:val="single" w:sz="8" w:space="0" w:color="000000"/>
              <w:bottom w:val="single" w:sz="8" w:space="0" w:color="000000"/>
              <w:right w:val="single" w:sz="8" w:space="0" w:color="000000"/>
            </w:tcBorders>
            <w:vAlign w:val="center"/>
          </w:tcPr>
          <w:p w14:paraId="24D3992F" w14:textId="77777777" w:rsidR="00CA51AD" w:rsidRDefault="008703C1" w:rsidP="008355F9">
            <w:pPr>
              <w:spacing w:after="160" w:line="276" w:lineRule="auto"/>
            </w:pPr>
            <w:r>
              <w:t xml:space="preserve">16.02% </w:t>
            </w:r>
          </w:p>
        </w:tc>
      </w:tr>
      <w:tr w:rsidR="00CA51AD" w14:paraId="09B0F136"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2C1AF18C" w14:textId="3F73E49A" w:rsidR="00CA51AD" w:rsidRDefault="008703C1" w:rsidP="008355F9">
            <w:pPr>
              <w:spacing w:after="160" w:line="276" w:lineRule="auto"/>
            </w:pPr>
            <w:r>
              <w:t xml:space="preserve">Since </w:t>
            </w:r>
            <w:r w:rsidR="002D3A3A">
              <w:t>i</w:t>
            </w:r>
            <w:r>
              <w:t xml:space="preserve">nception </w:t>
            </w:r>
          </w:p>
        </w:tc>
        <w:tc>
          <w:tcPr>
            <w:tcW w:w="1860" w:type="dxa"/>
            <w:tcBorders>
              <w:top w:val="single" w:sz="8" w:space="0" w:color="000000"/>
              <w:left w:val="single" w:sz="8" w:space="0" w:color="000000"/>
              <w:bottom w:val="single" w:sz="8" w:space="0" w:color="000000"/>
              <w:right w:val="single" w:sz="8" w:space="0" w:color="000000"/>
            </w:tcBorders>
            <w:vAlign w:val="center"/>
          </w:tcPr>
          <w:p w14:paraId="20B14D78" w14:textId="77777777" w:rsidR="00CA51AD" w:rsidRDefault="008703C1" w:rsidP="008355F9">
            <w:pPr>
              <w:spacing w:after="160" w:line="276" w:lineRule="auto"/>
            </w:pPr>
            <w:r>
              <w:t xml:space="preserve">11/13/2000 </w:t>
            </w:r>
          </w:p>
        </w:tc>
        <w:tc>
          <w:tcPr>
            <w:tcW w:w="1860" w:type="dxa"/>
            <w:tcBorders>
              <w:top w:val="single" w:sz="8" w:space="0" w:color="000000"/>
              <w:left w:val="single" w:sz="8" w:space="0" w:color="000000"/>
              <w:bottom w:val="single" w:sz="8" w:space="0" w:color="000000"/>
              <w:right w:val="single" w:sz="8" w:space="0" w:color="000000"/>
            </w:tcBorders>
            <w:vAlign w:val="center"/>
          </w:tcPr>
          <w:p w14:paraId="4CF5C49E" w14:textId="77777777" w:rsidR="00CA51AD" w:rsidRDefault="008703C1" w:rsidP="008355F9">
            <w:pPr>
              <w:spacing w:after="160" w:line="276" w:lineRule="auto"/>
            </w:pPr>
            <w:r>
              <w:t xml:space="preserve">77.69 </w:t>
            </w:r>
          </w:p>
        </w:tc>
        <w:tc>
          <w:tcPr>
            <w:tcW w:w="1860" w:type="dxa"/>
            <w:tcBorders>
              <w:top w:val="single" w:sz="8" w:space="0" w:color="000000"/>
              <w:left w:val="single" w:sz="8" w:space="0" w:color="000000"/>
              <w:bottom w:val="single" w:sz="8" w:space="0" w:color="000000"/>
              <w:right w:val="single" w:sz="8" w:space="0" w:color="000000"/>
            </w:tcBorders>
            <w:vAlign w:val="center"/>
          </w:tcPr>
          <w:p w14:paraId="0B84BAF1" w14:textId="77777777" w:rsidR="00CA51AD" w:rsidRDefault="008703C1" w:rsidP="008355F9">
            <w:pPr>
              <w:spacing w:after="160" w:line="276" w:lineRule="auto"/>
            </w:pPr>
            <w:r>
              <w:t xml:space="preserve">8.63% </w:t>
            </w:r>
          </w:p>
        </w:tc>
        <w:tc>
          <w:tcPr>
            <w:tcW w:w="1860" w:type="dxa"/>
            <w:tcBorders>
              <w:top w:val="single" w:sz="8" w:space="0" w:color="000000"/>
              <w:left w:val="single" w:sz="8" w:space="0" w:color="000000"/>
              <w:bottom w:val="single" w:sz="8" w:space="0" w:color="000000"/>
              <w:right w:val="single" w:sz="8" w:space="0" w:color="000000"/>
            </w:tcBorders>
            <w:vAlign w:val="center"/>
          </w:tcPr>
          <w:p w14:paraId="7E046559" w14:textId="77777777" w:rsidR="00CA51AD" w:rsidRDefault="008703C1" w:rsidP="008355F9">
            <w:pPr>
              <w:spacing w:after="160" w:line="276" w:lineRule="auto"/>
            </w:pPr>
            <w:r>
              <w:t xml:space="preserve">8.21% </w:t>
            </w:r>
          </w:p>
        </w:tc>
      </w:tr>
      <w:tr w:rsidR="00CA51AD" w14:paraId="0CA7A982"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64224B0E" w14:textId="46DDEE8A" w:rsidR="00CA51AD" w:rsidRDefault="008703C1" w:rsidP="008355F9">
            <w:pPr>
              <w:spacing w:after="160" w:line="276" w:lineRule="auto"/>
            </w:pPr>
            <w:r>
              <w:t xml:space="preserve">Expense </w:t>
            </w:r>
            <w:r w:rsidR="002D3A3A">
              <w:t>r</w:t>
            </w:r>
            <w:r>
              <w:t xml:space="preserve">atio </w:t>
            </w:r>
          </w:p>
        </w:tc>
        <w:tc>
          <w:tcPr>
            <w:tcW w:w="1860" w:type="dxa"/>
            <w:tcBorders>
              <w:top w:val="single" w:sz="8" w:space="0" w:color="000000"/>
              <w:left w:val="single" w:sz="8" w:space="0" w:color="000000"/>
              <w:bottom w:val="single" w:sz="8" w:space="0" w:color="000000"/>
              <w:right w:val="single" w:sz="8" w:space="0" w:color="000000"/>
            </w:tcBorders>
            <w:vAlign w:val="center"/>
          </w:tcPr>
          <w:p w14:paraId="12A638E5" w14:textId="77777777" w:rsidR="00CA51AD" w:rsidRDefault="008703C1" w:rsidP="008355F9">
            <w:pPr>
              <w:spacing w:after="160" w:line="276" w:lineRule="auto"/>
            </w:pPr>
            <w:r>
              <w:t xml:space="preserve">0.04% </w:t>
            </w:r>
          </w:p>
        </w:tc>
        <w:tc>
          <w:tcPr>
            <w:tcW w:w="1860" w:type="dxa"/>
            <w:tcBorders>
              <w:top w:val="single" w:sz="8" w:space="0" w:color="000000"/>
              <w:left w:val="single" w:sz="8" w:space="0" w:color="000000"/>
              <w:bottom w:val="single" w:sz="8" w:space="0" w:color="000000"/>
              <w:right w:val="single" w:sz="8" w:space="0" w:color="000000"/>
            </w:tcBorders>
            <w:vAlign w:val="center"/>
          </w:tcPr>
          <w:p w14:paraId="0DE176BF" w14:textId="77777777" w:rsidR="00CA51AD" w:rsidRDefault="008703C1" w:rsidP="008355F9">
            <w:pPr>
              <w:spacing w:after="160" w:line="276" w:lineRule="auto"/>
            </w:pPr>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1D9530CA" w14:textId="77777777" w:rsidR="00CA51AD" w:rsidRDefault="008703C1" w:rsidP="008355F9">
            <w:pPr>
              <w:spacing w:after="160" w:line="276" w:lineRule="auto"/>
            </w:pPr>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7F7D8015" w14:textId="77777777" w:rsidR="00CA51AD" w:rsidRDefault="008703C1" w:rsidP="008355F9">
            <w:pPr>
              <w:spacing w:after="160" w:line="276" w:lineRule="auto"/>
            </w:pPr>
            <w:r>
              <w:t xml:space="preserve"> </w:t>
            </w:r>
          </w:p>
        </w:tc>
      </w:tr>
      <w:tr w:rsidR="00CA51AD" w14:paraId="1191119E" w14:textId="77777777">
        <w:trPr>
          <w:trHeight w:val="480"/>
        </w:trPr>
        <w:tc>
          <w:tcPr>
            <w:tcW w:w="1860" w:type="dxa"/>
            <w:tcBorders>
              <w:top w:val="single" w:sz="8" w:space="0" w:color="000000"/>
              <w:left w:val="single" w:sz="8" w:space="0" w:color="000000"/>
              <w:bottom w:val="single" w:sz="8" w:space="0" w:color="000000"/>
              <w:right w:val="single" w:sz="8" w:space="0" w:color="000000"/>
            </w:tcBorders>
            <w:vAlign w:val="center"/>
          </w:tcPr>
          <w:p w14:paraId="171E87B7" w14:textId="00F27907" w:rsidR="00CA51AD" w:rsidRDefault="008703C1" w:rsidP="008355F9">
            <w:pPr>
              <w:spacing w:after="160" w:line="276" w:lineRule="auto"/>
            </w:pPr>
            <w:r>
              <w:t xml:space="preserve">Inception </w:t>
            </w:r>
            <w:r w:rsidR="002D3A3A">
              <w:t>y</w:t>
            </w:r>
            <w:r>
              <w:t xml:space="preserve">ears </w:t>
            </w:r>
          </w:p>
        </w:tc>
        <w:tc>
          <w:tcPr>
            <w:tcW w:w="1860" w:type="dxa"/>
            <w:tcBorders>
              <w:top w:val="single" w:sz="8" w:space="0" w:color="000000"/>
              <w:left w:val="single" w:sz="8" w:space="0" w:color="000000"/>
              <w:bottom w:val="single" w:sz="8" w:space="0" w:color="000000"/>
              <w:right w:val="single" w:sz="8" w:space="0" w:color="000000"/>
            </w:tcBorders>
            <w:vAlign w:val="center"/>
          </w:tcPr>
          <w:p w14:paraId="094946C2" w14:textId="77777777" w:rsidR="00CA51AD" w:rsidRDefault="008703C1" w:rsidP="008355F9">
            <w:pPr>
              <w:spacing w:after="160" w:line="276" w:lineRule="auto"/>
            </w:pPr>
            <w:r>
              <w:t xml:space="preserve">24.97 </w:t>
            </w:r>
          </w:p>
        </w:tc>
        <w:tc>
          <w:tcPr>
            <w:tcW w:w="1860" w:type="dxa"/>
            <w:tcBorders>
              <w:top w:val="single" w:sz="8" w:space="0" w:color="000000"/>
              <w:left w:val="single" w:sz="8" w:space="0" w:color="000000"/>
              <w:bottom w:val="single" w:sz="8" w:space="0" w:color="000000"/>
              <w:right w:val="single" w:sz="8" w:space="0" w:color="000000"/>
            </w:tcBorders>
            <w:vAlign w:val="center"/>
          </w:tcPr>
          <w:p w14:paraId="5B2C3AB2" w14:textId="77777777" w:rsidR="00CA51AD" w:rsidRDefault="008703C1" w:rsidP="008355F9">
            <w:pPr>
              <w:spacing w:after="160" w:line="276" w:lineRule="auto"/>
            </w:pPr>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4AD49DAC" w14:textId="77777777" w:rsidR="00CA51AD" w:rsidRDefault="008703C1" w:rsidP="008355F9">
            <w:pPr>
              <w:spacing w:after="160" w:line="276" w:lineRule="auto"/>
            </w:pPr>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59B1B59C" w14:textId="77777777" w:rsidR="00CA51AD" w:rsidRDefault="008703C1" w:rsidP="008355F9">
            <w:pPr>
              <w:keepNext/>
              <w:spacing w:after="160" w:line="276" w:lineRule="auto"/>
            </w:pPr>
            <w:r>
              <w:t xml:space="preserve"> </w:t>
            </w:r>
          </w:p>
        </w:tc>
      </w:tr>
    </w:tbl>
    <w:p w14:paraId="055D9C1D" w14:textId="21B50E2E" w:rsidR="00CA51AD" w:rsidRDefault="00E14C78" w:rsidP="005E523F">
      <w:pPr>
        <w:pStyle w:val="Caption"/>
        <w:spacing w:after="160" w:line="480" w:lineRule="auto"/>
        <w:jc w:val="center"/>
      </w:pPr>
      <w:bookmarkStart w:id="6" w:name="_Toc213247487"/>
      <w:r>
        <w:t xml:space="preserve">Figure </w:t>
      </w:r>
      <w:r>
        <w:fldChar w:fldCharType="begin"/>
      </w:r>
      <w:r>
        <w:instrText xml:space="preserve"> SEQ Figure \* ARABIC </w:instrText>
      </w:r>
      <w:r>
        <w:fldChar w:fldCharType="separate"/>
      </w:r>
      <w:r w:rsidR="00D47095">
        <w:rPr>
          <w:noProof/>
        </w:rPr>
        <w:t>3</w:t>
      </w:r>
      <w:r>
        <w:fldChar w:fldCharType="end"/>
      </w:r>
      <w:r>
        <w:t>: VFIAX's historical performance</w:t>
      </w:r>
      <w:bookmarkEnd w:id="6"/>
    </w:p>
    <w:p w14:paraId="733AC379" w14:textId="77777777" w:rsidR="00CA51AD" w:rsidRPr="00012A03" w:rsidRDefault="008703C1" w:rsidP="005E523F">
      <w:pPr>
        <w:ind w:left="-5" w:right="108"/>
        <w:rPr>
          <w:sz w:val="24"/>
        </w:rPr>
      </w:pPr>
      <w:r w:rsidRPr="00012A03">
        <w:rPr>
          <w:sz w:val="24"/>
        </w:rPr>
        <w:t>T</w:t>
      </w:r>
      <w:r w:rsidRPr="00012A03">
        <w:rPr>
          <w:sz w:val="24"/>
        </w:rPr>
        <w:t xml:space="preserve">he </w:t>
      </w:r>
      <w:proofErr w:type="gramStart"/>
      <w:r w:rsidRPr="00012A03">
        <w:rPr>
          <w:sz w:val="24"/>
        </w:rPr>
        <w:t>fund has</w:t>
      </w:r>
      <w:proofErr w:type="gramEnd"/>
      <w:r w:rsidRPr="00012A03">
        <w:rPr>
          <w:sz w:val="24"/>
        </w:rPr>
        <w:t xml:space="preserve"> delivered strong returns </w:t>
      </w:r>
      <w:proofErr w:type="gramStart"/>
      <w:r w:rsidRPr="00012A03">
        <w:rPr>
          <w:sz w:val="24"/>
        </w:rPr>
        <w:t>across</w:t>
      </w:r>
      <w:proofErr w:type="gramEnd"/>
      <w:r w:rsidRPr="00012A03">
        <w:rPr>
          <w:sz w:val="24"/>
        </w:rPr>
        <w:t xml:space="preserve"> all periods. The 1-year return of 17.55% (after fees) reflects the market rally through late 2024 and 2025. The 3-year annualized return of 24.45% captures the sharp recovery from the 2022 market correction, when inflation concerns and rising interest rates pressured equity valuations. </w:t>
      </w:r>
    </w:p>
    <w:p w14:paraId="6C3ED3BC" w14:textId="1E72C2F6" w:rsidR="00D47095" w:rsidRPr="00012A03" w:rsidRDefault="008703C1" w:rsidP="005E523F">
      <w:pPr>
        <w:ind w:left="-5" w:right="108" w:hanging="10"/>
        <w:rPr>
          <w:sz w:val="24"/>
        </w:rPr>
      </w:pPr>
      <w:r w:rsidRPr="00012A03">
        <w:rPr>
          <w:sz w:val="24"/>
        </w:rPr>
        <w:t>Over five years, the fund returned 16.02% annually, a period that includes the COVID-19 pandemic crash in March 2020 and the subsequent recovery. The since-inception annualized return of 8.21% over nearly 25 years demonstrates the fund's ability to deliver consistent long-term performance despite major market disruptions, including the dot-com crash, the 2008 financial crisis, and the pandemic</w:t>
      </w:r>
      <w:r w:rsidR="00D02518">
        <w:rPr>
          <w:sz w:val="24"/>
        </w:rPr>
        <w:t>.</w:t>
      </w:r>
      <w:r w:rsidRPr="00012A03">
        <w:rPr>
          <w:sz w:val="24"/>
        </w:rPr>
        <w:t xml:space="preserve"> </w:t>
      </w:r>
    </w:p>
    <w:p w14:paraId="6A1B8793" w14:textId="1FC0DCC9" w:rsidR="00CA51AD" w:rsidRPr="00012A03" w:rsidRDefault="008703C1" w:rsidP="005E523F">
      <w:pPr>
        <w:ind w:left="-5"/>
        <w:rPr>
          <w:sz w:val="24"/>
        </w:rPr>
      </w:pPr>
      <w:r w:rsidRPr="00012A03">
        <w:rPr>
          <w:b/>
          <w:sz w:val="24"/>
        </w:rPr>
        <w:t xml:space="preserve">Comparison to </w:t>
      </w:r>
      <w:r w:rsidR="007743F3" w:rsidRPr="00012A03">
        <w:rPr>
          <w:b/>
          <w:sz w:val="24"/>
        </w:rPr>
        <w:t>p</w:t>
      </w:r>
      <w:r w:rsidRPr="00012A03">
        <w:rPr>
          <w:b/>
          <w:sz w:val="24"/>
        </w:rPr>
        <w:t xml:space="preserve">eer </w:t>
      </w:r>
      <w:r w:rsidR="007743F3" w:rsidRPr="00012A03">
        <w:rPr>
          <w:b/>
          <w:sz w:val="24"/>
        </w:rPr>
        <w:t>a</w:t>
      </w:r>
      <w:r w:rsidRPr="00012A03">
        <w:rPr>
          <w:b/>
          <w:sz w:val="24"/>
        </w:rPr>
        <w:t xml:space="preserve">verage: </w:t>
      </w:r>
    </w:p>
    <w:p w14:paraId="622C6AC3" w14:textId="77777777" w:rsidR="00C62630" w:rsidRDefault="00C26D68" w:rsidP="005E523F">
      <w:pPr>
        <w:keepNext/>
        <w:ind w:left="-5" w:right="108"/>
      </w:pPr>
      <w:r>
        <w:rPr>
          <w:noProof/>
          <w:bdr w:val="none" w:sz="0" w:space="0" w:color="auto" w:frame="1"/>
        </w:rPr>
        <w:drawing>
          <wp:inline distT="0" distB="0" distL="0" distR="0" wp14:anchorId="46164C61" wp14:editId="2CAF33D1">
            <wp:extent cx="6457950" cy="2981242"/>
            <wp:effectExtent l="0" t="0" r="0" b="0"/>
            <wp:docPr id="47901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5167" cy="2993806"/>
                    </a:xfrm>
                    <a:prstGeom prst="rect">
                      <a:avLst/>
                    </a:prstGeom>
                    <a:noFill/>
                    <a:ln>
                      <a:noFill/>
                    </a:ln>
                  </pic:spPr>
                </pic:pic>
              </a:graphicData>
            </a:graphic>
          </wp:inline>
        </w:drawing>
      </w:r>
    </w:p>
    <w:p w14:paraId="0194DF80" w14:textId="3755A5E5" w:rsidR="00C26D68" w:rsidRDefault="00C62630" w:rsidP="005E523F">
      <w:pPr>
        <w:pStyle w:val="Caption"/>
        <w:spacing w:after="160" w:line="480" w:lineRule="auto"/>
        <w:jc w:val="center"/>
      </w:pPr>
      <w:bookmarkStart w:id="7" w:name="_Toc213247488"/>
      <w:r>
        <w:t xml:space="preserve">Figure </w:t>
      </w:r>
      <w:r>
        <w:fldChar w:fldCharType="begin"/>
      </w:r>
      <w:r>
        <w:instrText xml:space="preserve"> SEQ Figure \* ARABIC </w:instrText>
      </w:r>
      <w:r>
        <w:fldChar w:fldCharType="separate"/>
      </w:r>
      <w:r w:rsidR="00D47095">
        <w:rPr>
          <w:noProof/>
        </w:rPr>
        <w:t>4</w:t>
      </w:r>
      <w:r>
        <w:fldChar w:fldCharType="end"/>
      </w:r>
      <w:r>
        <w:t>: VFIAX's return compared to the average large blend fund</w:t>
      </w:r>
      <w:bookmarkEnd w:id="7"/>
    </w:p>
    <w:p w14:paraId="21617747" w14:textId="33AE194E" w:rsidR="008355F9" w:rsidRPr="00012A03" w:rsidRDefault="008355F9" w:rsidP="008355F9">
      <w:pPr>
        <w:ind w:left="-5" w:right="108"/>
        <w:rPr>
          <w:sz w:val="24"/>
        </w:rPr>
      </w:pPr>
      <w:r w:rsidRPr="00012A03">
        <w:rPr>
          <w:sz w:val="24"/>
        </w:rPr>
        <w:t xml:space="preserve">VFIAX consistently outperforms the average large blend fund across all timeframes. </w:t>
      </w:r>
      <w:r>
        <w:rPr>
          <w:sz w:val="24"/>
        </w:rPr>
        <w:t>As shown in Figure 4</w:t>
      </w:r>
      <w:r w:rsidRPr="00012A03">
        <w:rPr>
          <w:sz w:val="24"/>
        </w:rPr>
        <w:t xml:space="preserve">, the fund's 3-year return of 24.88% (before taxes) exceeds the peer average of 22.31% by 2.57 percentage points. This outperformance stems primarily from VFIAX's rock-bottom expense ratio of 0.04%, compared to the category average which typically ranges from 0.50% to 1.00%. </w:t>
      </w:r>
    </w:p>
    <w:p w14:paraId="0DCEDA43" w14:textId="071A5CFB" w:rsidR="00CA51AD" w:rsidRPr="00012A03" w:rsidRDefault="008703C1" w:rsidP="005E523F">
      <w:pPr>
        <w:ind w:left="-5"/>
        <w:rPr>
          <w:sz w:val="24"/>
        </w:rPr>
      </w:pPr>
      <w:r w:rsidRPr="00012A03">
        <w:rPr>
          <w:b/>
          <w:sz w:val="24"/>
        </w:rPr>
        <w:t xml:space="preserve">Expected </w:t>
      </w:r>
      <w:r w:rsidR="007743F3" w:rsidRPr="00012A03">
        <w:rPr>
          <w:b/>
          <w:sz w:val="24"/>
        </w:rPr>
        <w:t>r</w:t>
      </w:r>
      <w:r w:rsidRPr="00012A03">
        <w:rPr>
          <w:b/>
          <w:sz w:val="24"/>
        </w:rPr>
        <w:t xml:space="preserve">eturn </w:t>
      </w:r>
      <w:r w:rsidR="007743F3" w:rsidRPr="00012A03">
        <w:rPr>
          <w:b/>
          <w:sz w:val="24"/>
        </w:rPr>
        <w:t>g</w:t>
      </w:r>
      <w:r w:rsidRPr="00012A03">
        <w:rPr>
          <w:b/>
          <w:sz w:val="24"/>
        </w:rPr>
        <w:t xml:space="preserve">oal: </w:t>
      </w:r>
    </w:p>
    <w:p w14:paraId="76024542" w14:textId="4A08641F" w:rsidR="005E523F" w:rsidRPr="00C77CB8" w:rsidRDefault="008703C1" w:rsidP="00C77CB8">
      <w:pPr>
        <w:ind w:left="-5" w:right="108" w:hanging="10"/>
        <w:rPr>
          <w:sz w:val="24"/>
        </w:rPr>
      </w:pPr>
      <w:r w:rsidRPr="00012A03">
        <w:rPr>
          <w:sz w:val="24"/>
        </w:rPr>
        <w:t xml:space="preserve">VFIAX aims to deliver long-term capital appreciation by matching the performance of the S&amp;P 500 Index rather than trying to beat it. The fund's return expectations align with historical S&amp;P 500 performance, which has averaged 7-10% annually over extended periods. By holding a diversified portfolio of roughly 500 large-cap U.S. companies weighted by market value, the fund participates in the growth of America's largest corporations without the costs and risks associated with active stock selection. </w:t>
      </w:r>
    </w:p>
    <w:p w14:paraId="05EF2114" w14:textId="086B4494" w:rsidR="00CA51AD" w:rsidRPr="00012A03" w:rsidRDefault="008703C1" w:rsidP="002D3A3A">
      <w:pPr>
        <w:pStyle w:val="Headings"/>
      </w:pPr>
      <w:bookmarkStart w:id="8" w:name="_Toc213247480"/>
      <w:r w:rsidRPr="00012A03">
        <w:t xml:space="preserve">Risk </w:t>
      </w:r>
      <w:r w:rsidR="007743F3" w:rsidRPr="00012A03">
        <w:t>m</w:t>
      </w:r>
      <w:r w:rsidRPr="00012A03">
        <w:t>anagement</w:t>
      </w:r>
      <w:bookmarkEnd w:id="8"/>
    </w:p>
    <w:p w14:paraId="159DD243" w14:textId="6D6B5B05" w:rsidR="00CA51AD" w:rsidRPr="00012A03" w:rsidRDefault="00C62630" w:rsidP="008355F9">
      <w:pPr>
        <w:ind w:left="-5" w:right="108"/>
        <w:rPr>
          <w:sz w:val="24"/>
        </w:rPr>
      </w:pPr>
      <w:r w:rsidRPr="00012A03">
        <w:rPr>
          <w:noProof/>
          <w:sz w:val="24"/>
        </w:rPr>
        <mc:AlternateContent>
          <mc:Choice Requires="wps">
            <w:drawing>
              <wp:anchor distT="0" distB="0" distL="114300" distR="114300" simplePos="0" relativeHeight="251671040" behindDoc="0" locked="0" layoutInCell="1" allowOverlap="1" wp14:anchorId="584E98DA" wp14:editId="30F91BB6">
                <wp:simplePos x="0" y="0"/>
                <wp:positionH relativeFrom="column">
                  <wp:posOffset>1876425</wp:posOffset>
                </wp:positionH>
                <wp:positionV relativeFrom="paragraph">
                  <wp:posOffset>1724025</wp:posOffset>
                </wp:positionV>
                <wp:extent cx="4248150" cy="635"/>
                <wp:effectExtent l="0" t="0" r="0" b="0"/>
                <wp:wrapSquare wrapText="bothSides"/>
                <wp:docPr id="1442854227" name="Text Box 1"/>
                <wp:cNvGraphicFramePr/>
                <a:graphic xmlns:a="http://schemas.openxmlformats.org/drawingml/2006/main">
                  <a:graphicData uri="http://schemas.microsoft.com/office/word/2010/wordprocessingShape">
                    <wps:wsp>
                      <wps:cNvSpPr txBox="1"/>
                      <wps:spPr>
                        <a:xfrm>
                          <a:off x="0" y="0"/>
                          <a:ext cx="4248150" cy="635"/>
                        </a:xfrm>
                        <a:prstGeom prst="rect">
                          <a:avLst/>
                        </a:prstGeom>
                        <a:solidFill>
                          <a:prstClr val="white"/>
                        </a:solidFill>
                        <a:ln>
                          <a:noFill/>
                        </a:ln>
                      </wps:spPr>
                      <wps:txbx>
                        <w:txbxContent>
                          <w:p w14:paraId="5CE75B6D" w14:textId="467B8734" w:rsidR="00C62630" w:rsidRPr="005451F2" w:rsidRDefault="00C62630" w:rsidP="00C62630">
                            <w:pPr>
                              <w:pStyle w:val="Caption"/>
                              <w:jc w:val="center"/>
                              <w:rPr>
                                <w:noProof/>
                                <w:color w:val="000000"/>
                                <w:sz w:val="22"/>
                              </w:rPr>
                            </w:pPr>
                            <w:bookmarkStart w:id="9" w:name="_Toc213247489"/>
                            <w:r>
                              <w:t xml:space="preserve">Figure </w:t>
                            </w:r>
                            <w:r>
                              <w:fldChar w:fldCharType="begin"/>
                            </w:r>
                            <w:r>
                              <w:instrText xml:space="preserve"> SEQ Figure \* ARABIC </w:instrText>
                            </w:r>
                            <w:r>
                              <w:fldChar w:fldCharType="separate"/>
                            </w:r>
                            <w:r w:rsidR="00D47095">
                              <w:rPr>
                                <w:noProof/>
                              </w:rPr>
                              <w:t>5</w:t>
                            </w:r>
                            <w:r>
                              <w:fldChar w:fldCharType="end"/>
                            </w:r>
                            <w:r>
                              <w:t>: Historical volatility measures of benchmark indexes</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4E98DA" id="_x0000_s1028" type="#_x0000_t202" style="position:absolute;left:0;text-align:left;margin-left:147.75pt;margin-top:135.75pt;width:334.5pt;height:.0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pxHGAIAAD8EAAAOAAAAZHJzL2Uyb0RvYy54bWysU8Fu2zAMvQ/YPwi6L06yt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86vb2TWFJMVuPl/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" stroked="f">
                <v:textbox style="mso-fit-shape-to-text:t" inset="0,0,0,0">
                  <w:txbxContent>
                    <w:p w14:paraId="5CE75B6D" w14:textId="467B8734" w:rsidR="00C62630" w:rsidRPr="005451F2" w:rsidRDefault="00C62630" w:rsidP="00C62630">
                      <w:pPr>
                        <w:pStyle w:val="Caption"/>
                        <w:jc w:val="center"/>
                        <w:rPr>
                          <w:noProof/>
                          <w:color w:val="000000"/>
                          <w:sz w:val="22"/>
                        </w:rPr>
                      </w:pPr>
                      <w:bookmarkStart w:id="10" w:name="_Toc213247489"/>
                      <w:r>
                        <w:t xml:space="preserve">Figure </w:t>
                      </w:r>
                      <w:r>
                        <w:fldChar w:fldCharType="begin"/>
                      </w:r>
                      <w:r>
                        <w:instrText xml:space="preserve"> SEQ Figure \* ARABIC </w:instrText>
                      </w:r>
                      <w:r>
                        <w:fldChar w:fldCharType="separate"/>
                      </w:r>
                      <w:r w:rsidR="00D47095">
                        <w:rPr>
                          <w:noProof/>
                        </w:rPr>
                        <w:t>5</w:t>
                      </w:r>
                      <w:r>
                        <w:fldChar w:fldCharType="end"/>
                      </w:r>
                      <w:r>
                        <w:t>: Historical volatility measures of benchmark indexes</w:t>
                      </w:r>
                      <w:bookmarkEnd w:id="10"/>
                    </w:p>
                  </w:txbxContent>
                </v:textbox>
                <w10:wrap type="square"/>
              </v:shape>
            </w:pict>
          </mc:Fallback>
        </mc:AlternateContent>
      </w:r>
      <w:r w:rsidR="008703C1" w:rsidRPr="00012A03">
        <w:rPr>
          <w:noProof/>
          <w:sz w:val="24"/>
        </w:rPr>
        <w:drawing>
          <wp:anchor distT="0" distB="0" distL="114300" distR="114300" simplePos="0" relativeHeight="251649536" behindDoc="0" locked="0" layoutInCell="1" allowOverlap="0" wp14:anchorId="388E7A34" wp14:editId="4CF2E7D2">
            <wp:simplePos x="0" y="0"/>
            <wp:positionH relativeFrom="column">
              <wp:posOffset>1876425</wp:posOffset>
            </wp:positionH>
            <wp:positionV relativeFrom="paragraph">
              <wp:posOffset>-225565</wp:posOffset>
            </wp:positionV>
            <wp:extent cx="4248150" cy="1666875"/>
            <wp:effectExtent l="0" t="0" r="0" b="0"/>
            <wp:wrapSquare wrapText="bothSides"/>
            <wp:docPr id="4915" name="Picture 4915"/>
            <wp:cNvGraphicFramePr/>
            <a:graphic xmlns:a="http://schemas.openxmlformats.org/drawingml/2006/main">
              <a:graphicData uri="http://schemas.openxmlformats.org/drawingml/2006/picture">
                <pic:pic xmlns:pic="http://schemas.openxmlformats.org/drawingml/2006/picture">
                  <pic:nvPicPr>
                    <pic:cNvPr id="4915" name="Picture 4915"/>
                    <pic:cNvPicPr/>
                  </pic:nvPicPr>
                  <pic:blipFill>
                    <a:blip r:embed="rId13"/>
                    <a:stretch>
                      <a:fillRect/>
                    </a:stretch>
                  </pic:blipFill>
                  <pic:spPr>
                    <a:xfrm>
                      <a:off x="0" y="0"/>
                      <a:ext cx="4248150" cy="1666875"/>
                    </a:xfrm>
                    <a:prstGeom prst="rect">
                      <a:avLst/>
                    </a:prstGeom>
                  </pic:spPr>
                </pic:pic>
              </a:graphicData>
            </a:graphic>
          </wp:anchor>
        </w:drawing>
      </w:r>
      <w:r w:rsidR="008703C1" w:rsidRPr="00012A03">
        <w:rPr>
          <w:sz w:val="24"/>
        </w:rPr>
        <w:t xml:space="preserve">The fund manages risk through diversification rather than active risk mitigation. Holding 504 stocks across eleven economic sectors reduces the impact of any single company's performance on the overall portfolio. However, as a passive fund that mirrors the </w:t>
      </w:r>
      <w:r w:rsidR="008703C1" w:rsidRPr="00012A03">
        <w:rPr>
          <w:sz w:val="24"/>
        </w:rPr>
        <w:t xml:space="preserve">S&amp;P 500, VFIAX accepts full market risk when the index falls, the fund falls with it. </w:t>
      </w:r>
    </w:p>
    <w:p w14:paraId="62980A70" w14:textId="77777777" w:rsidR="00CA51AD" w:rsidRPr="00012A03" w:rsidRDefault="008703C1" w:rsidP="005E523F">
      <w:pPr>
        <w:ind w:left="-5" w:right="108"/>
        <w:rPr>
          <w:sz w:val="24"/>
        </w:rPr>
      </w:pPr>
      <w:r w:rsidRPr="00012A03">
        <w:rPr>
          <w:sz w:val="24"/>
        </w:rPr>
        <w:t>The fund's risk profile can be understood through several key metrics. With a median market capitalization of $403 billion, the portfolio focuses exclusively on large, established companies rather than smaller, potentially more volatile firms. The portfolio's price-to-</w:t>
      </w:r>
      <w:proofErr w:type="gramStart"/>
      <w:r w:rsidRPr="00012A03">
        <w:rPr>
          <w:sz w:val="24"/>
        </w:rPr>
        <w:t>earnings</w:t>
      </w:r>
      <w:proofErr w:type="gramEnd"/>
      <w:r w:rsidRPr="00012A03">
        <w:rPr>
          <w:sz w:val="24"/>
        </w:rPr>
        <w:t xml:space="preserve"> ratio of 28.9x and price-to-book ratio of 5.2x reflect current market valuations. The </w:t>
      </w:r>
      <w:proofErr w:type="gramStart"/>
      <w:r w:rsidRPr="00012A03">
        <w:rPr>
          <w:sz w:val="24"/>
        </w:rPr>
        <w:t>fund's</w:t>
      </w:r>
      <w:proofErr w:type="gramEnd"/>
      <w:r w:rsidRPr="00012A03">
        <w:rPr>
          <w:sz w:val="24"/>
        </w:rPr>
        <w:t xml:space="preserve"> return on equity of 27.0% indicates the profitability of its underlying holdings, while the earnings growth rate of 23.6% suggests strong forward momentum in corporate profits. </w:t>
      </w:r>
    </w:p>
    <w:p w14:paraId="2C353951" w14:textId="05BB2C77" w:rsidR="00CA51AD" w:rsidRPr="00012A03" w:rsidRDefault="008703C1" w:rsidP="005E523F">
      <w:pPr>
        <w:ind w:left="-5"/>
        <w:rPr>
          <w:sz w:val="24"/>
        </w:rPr>
      </w:pPr>
      <w:r w:rsidRPr="00012A03">
        <w:rPr>
          <w:b/>
          <w:sz w:val="24"/>
        </w:rPr>
        <w:t xml:space="preserve">Fund </w:t>
      </w:r>
      <w:r w:rsidR="007743F3" w:rsidRPr="00012A03">
        <w:rPr>
          <w:b/>
          <w:sz w:val="24"/>
        </w:rPr>
        <w:t>s</w:t>
      </w:r>
      <w:r w:rsidRPr="00012A03">
        <w:rPr>
          <w:b/>
          <w:sz w:val="24"/>
        </w:rPr>
        <w:t xml:space="preserve">ize and </w:t>
      </w:r>
      <w:r w:rsidR="007743F3" w:rsidRPr="00012A03">
        <w:rPr>
          <w:b/>
          <w:sz w:val="24"/>
        </w:rPr>
        <w:t>s</w:t>
      </w:r>
      <w:r w:rsidRPr="00012A03">
        <w:rPr>
          <w:b/>
          <w:sz w:val="24"/>
        </w:rPr>
        <w:t>cale:</w:t>
      </w:r>
    </w:p>
    <w:p w14:paraId="10E4B318" w14:textId="77777777" w:rsidR="00CA51AD" w:rsidRPr="00012A03" w:rsidRDefault="008703C1" w:rsidP="005E523F">
      <w:pPr>
        <w:ind w:left="-5" w:right="108"/>
        <w:rPr>
          <w:sz w:val="24"/>
        </w:rPr>
      </w:pPr>
      <w:r w:rsidRPr="00012A03">
        <w:rPr>
          <w:sz w:val="24"/>
        </w:rPr>
        <w:t xml:space="preserve">As of September 30, 2025, VFIAX holds total net assets of approximately $1.4 trillion across all share classes, with the Admiral Shares class accounting for $626 billion. This enormous scale provides several advantages: it allows Vanguard to negotiate favorable trading costs, ensures high liquidity for investors buying or selling shares, and demonstrates the fund's established track record and broad acceptance among both individual and institutional investors. </w:t>
      </w:r>
    </w:p>
    <w:p w14:paraId="30B74AF4" w14:textId="3C83841C" w:rsidR="00CA51AD" w:rsidRPr="00012A03" w:rsidRDefault="008703C1" w:rsidP="005E523F">
      <w:pPr>
        <w:ind w:left="-5"/>
        <w:rPr>
          <w:sz w:val="24"/>
        </w:rPr>
      </w:pPr>
      <w:r w:rsidRPr="00012A03">
        <w:rPr>
          <w:b/>
          <w:sz w:val="24"/>
        </w:rPr>
        <w:t xml:space="preserve">Fund </w:t>
      </w:r>
      <w:r w:rsidR="007743F3" w:rsidRPr="00012A03">
        <w:rPr>
          <w:b/>
          <w:sz w:val="24"/>
        </w:rPr>
        <w:t>t</w:t>
      </w:r>
      <w:r w:rsidRPr="00012A03">
        <w:rPr>
          <w:b/>
          <w:sz w:val="24"/>
        </w:rPr>
        <w:t xml:space="preserve">ransparency and </w:t>
      </w:r>
      <w:r w:rsidR="007743F3" w:rsidRPr="00012A03">
        <w:rPr>
          <w:b/>
          <w:sz w:val="24"/>
        </w:rPr>
        <w:t>d</w:t>
      </w:r>
      <w:r w:rsidRPr="00012A03">
        <w:rPr>
          <w:b/>
          <w:sz w:val="24"/>
        </w:rPr>
        <w:t xml:space="preserve">isclosure: </w:t>
      </w:r>
    </w:p>
    <w:p w14:paraId="02C34511" w14:textId="77777777" w:rsidR="00CA51AD" w:rsidRPr="00012A03" w:rsidRDefault="008703C1" w:rsidP="005E523F">
      <w:pPr>
        <w:ind w:left="-5" w:right="108"/>
        <w:rPr>
          <w:sz w:val="24"/>
        </w:rPr>
      </w:pPr>
      <w:r w:rsidRPr="00012A03">
        <w:rPr>
          <w:sz w:val="24"/>
        </w:rPr>
        <w:t xml:space="preserve">VFIAX demonstrates excellent transparency in its disclosure practices. Vanguard provides comprehensive information about portfolio holdings, operational decisions, and costs through its website and regulatory filings. The fund clearly communicates its indexing strategy and outlines the market risks inherent in equity investing, making it straightforward for investors to understand what they're buying. </w:t>
      </w:r>
    </w:p>
    <w:p w14:paraId="7A2799A8" w14:textId="06C13BD7" w:rsidR="003E5C62" w:rsidRDefault="008703C1" w:rsidP="005E523F">
      <w:pPr>
        <w:ind w:left="-5" w:right="108"/>
        <w:rPr>
          <w:sz w:val="24"/>
        </w:rPr>
      </w:pPr>
      <w:r w:rsidRPr="00012A03">
        <w:rPr>
          <w:sz w:val="24"/>
        </w:rPr>
        <w:t xml:space="preserve">The fund's structure is simple and predictable. With a </w:t>
      </w:r>
      <w:proofErr w:type="gramStart"/>
      <w:r w:rsidRPr="00012A03">
        <w:rPr>
          <w:sz w:val="24"/>
        </w:rPr>
        <w:t>beta</w:t>
      </w:r>
      <w:proofErr w:type="gramEnd"/>
      <w:r w:rsidRPr="00012A03">
        <w:rPr>
          <w:sz w:val="24"/>
        </w:rPr>
        <w:t xml:space="preserve"> </w:t>
      </w:r>
      <w:proofErr w:type="gramStart"/>
      <w:r w:rsidRPr="00012A03">
        <w:rPr>
          <w:sz w:val="24"/>
        </w:rPr>
        <w:t>near</w:t>
      </w:r>
      <w:proofErr w:type="gramEnd"/>
      <w:r w:rsidRPr="00012A03">
        <w:rPr>
          <w:sz w:val="24"/>
        </w:rPr>
        <w:t xml:space="preserve"> 1.00, VFIAX moves in lockstep with the S&amp;P 500, meaning investors know exactly what kind of market exposure they're getting. </w:t>
      </w:r>
    </w:p>
    <w:p w14:paraId="022C7547" w14:textId="3A2D7761" w:rsidR="00CA51AD" w:rsidRPr="00012A03" w:rsidRDefault="008703C1" w:rsidP="002D3A3A">
      <w:pPr>
        <w:pStyle w:val="Headings"/>
      </w:pPr>
      <w:bookmarkStart w:id="11" w:name="_Toc213247481"/>
      <w:r w:rsidRPr="00012A03">
        <w:t xml:space="preserve">Investor </w:t>
      </w:r>
      <w:r w:rsidR="007743F3" w:rsidRPr="00012A03">
        <w:t>s</w:t>
      </w:r>
      <w:r w:rsidRPr="00012A03">
        <w:t xml:space="preserve">uitability </w:t>
      </w:r>
      <w:r w:rsidR="007743F3" w:rsidRPr="00012A03">
        <w:t>a</w:t>
      </w:r>
      <w:r w:rsidRPr="00012A03">
        <w:t>nalysis</w:t>
      </w:r>
      <w:bookmarkEnd w:id="11"/>
    </w:p>
    <w:p w14:paraId="7E9BE4EE" w14:textId="6DA98003" w:rsidR="00CA51AD" w:rsidRPr="00012A03" w:rsidRDefault="008703C1" w:rsidP="005E523F">
      <w:pPr>
        <w:ind w:left="-5"/>
        <w:rPr>
          <w:sz w:val="24"/>
        </w:rPr>
      </w:pPr>
      <w:r w:rsidRPr="00012A03">
        <w:rPr>
          <w:b/>
          <w:sz w:val="24"/>
        </w:rPr>
        <w:t xml:space="preserve">Who </w:t>
      </w:r>
      <w:r w:rsidR="00D47095" w:rsidRPr="00012A03">
        <w:rPr>
          <w:b/>
          <w:sz w:val="24"/>
        </w:rPr>
        <w:t>s</w:t>
      </w:r>
      <w:r w:rsidRPr="00012A03">
        <w:rPr>
          <w:b/>
          <w:sz w:val="24"/>
        </w:rPr>
        <w:t xml:space="preserve">hould </w:t>
      </w:r>
      <w:r w:rsidR="00D47095" w:rsidRPr="00012A03">
        <w:rPr>
          <w:b/>
          <w:sz w:val="24"/>
        </w:rPr>
        <w:t>i</w:t>
      </w:r>
      <w:r w:rsidRPr="00012A03">
        <w:rPr>
          <w:b/>
          <w:sz w:val="24"/>
        </w:rPr>
        <w:t xml:space="preserve">nvest in VFIAX? </w:t>
      </w:r>
    </w:p>
    <w:p w14:paraId="3DAA6AE3" w14:textId="77777777" w:rsidR="00CA51AD" w:rsidRPr="00012A03" w:rsidRDefault="008703C1" w:rsidP="005E523F">
      <w:pPr>
        <w:ind w:left="-5" w:right="108"/>
        <w:rPr>
          <w:sz w:val="24"/>
        </w:rPr>
      </w:pPr>
      <w:r w:rsidRPr="00012A03">
        <w:rPr>
          <w:sz w:val="24"/>
        </w:rPr>
        <w:t xml:space="preserve">VFIAX is appropriate for long-term investors with a minimum five-year time horizon who seek broad U.S. equity market exposure at minimal cost. The fund suits those who accept full market risk, as evidenced by its beta of 1.001 and annual volatility of 15.96%. With just a 0.04% expense ratio and 2.3% turnover, it's ideal for cost-conscious investors prioritizing tax efficiency. </w:t>
      </w:r>
    </w:p>
    <w:p w14:paraId="4212CADA" w14:textId="05FFF543" w:rsidR="008355F9" w:rsidRPr="00012A03" w:rsidRDefault="008703C1" w:rsidP="001430FA">
      <w:pPr>
        <w:ind w:left="-5" w:right="108"/>
        <w:rPr>
          <w:sz w:val="24"/>
        </w:rPr>
      </w:pPr>
      <w:r w:rsidRPr="00012A03">
        <w:rPr>
          <w:sz w:val="24"/>
        </w:rPr>
        <w:t xml:space="preserve">The fund works well as a core portfolio holding for both novice investors building their first diversified portfolio and sophisticated investors who recognize the difficulty of consistently beating the market. Its passive structure appeals to buy-and-hold investors who want to participate in America's largest companies without active management decisions. </w:t>
      </w:r>
    </w:p>
    <w:p w14:paraId="3DE0C783" w14:textId="378EE0C2" w:rsidR="00CA51AD" w:rsidRPr="00012A03" w:rsidRDefault="00C62630" w:rsidP="005E523F">
      <w:pPr>
        <w:ind w:left="-5"/>
        <w:rPr>
          <w:sz w:val="24"/>
        </w:rPr>
      </w:pPr>
      <w:r w:rsidRPr="00012A03">
        <w:rPr>
          <w:noProof/>
          <w:sz w:val="24"/>
        </w:rPr>
        <mc:AlternateContent>
          <mc:Choice Requires="wps">
            <w:drawing>
              <wp:anchor distT="0" distB="0" distL="114300" distR="114300" simplePos="0" relativeHeight="251678208" behindDoc="0" locked="0" layoutInCell="1" allowOverlap="1" wp14:anchorId="4596FB11" wp14:editId="2D8325E5">
                <wp:simplePos x="0" y="0"/>
                <wp:positionH relativeFrom="column">
                  <wp:posOffset>2800350</wp:posOffset>
                </wp:positionH>
                <wp:positionV relativeFrom="paragraph">
                  <wp:posOffset>1644015</wp:posOffset>
                </wp:positionV>
                <wp:extent cx="3429000" cy="635"/>
                <wp:effectExtent l="0" t="0" r="0" b="0"/>
                <wp:wrapSquare wrapText="bothSides"/>
                <wp:docPr id="378813128" name="Text Box 1"/>
                <wp:cNvGraphicFramePr/>
                <a:graphic xmlns:a="http://schemas.openxmlformats.org/drawingml/2006/main">
                  <a:graphicData uri="http://schemas.microsoft.com/office/word/2010/wordprocessingShape">
                    <wps:wsp>
                      <wps:cNvSpPr txBox="1"/>
                      <wps:spPr>
                        <a:xfrm>
                          <a:off x="0" y="0"/>
                          <a:ext cx="3429000" cy="635"/>
                        </a:xfrm>
                        <a:prstGeom prst="rect">
                          <a:avLst/>
                        </a:prstGeom>
                        <a:solidFill>
                          <a:prstClr val="white"/>
                        </a:solidFill>
                        <a:ln>
                          <a:noFill/>
                        </a:ln>
                      </wps:spPr>
                      <wps:txbx>
                        <w:txbxContent>
                          <w:p w14:paraId="7DF159DC" w14:textId="649B7E32" w:rsidR="00C62630" w:rsidRPr="008B64F1" w:rsidRDefault="00C62630" w:rsidP="00C62630">
                            <w:pPr>
                              <w:pStyle w:val="Caption"/>
                              <w:jc w:val="center"/>
                              <w:rPr>
                                <w:noProof/>
                                <w:color w:val="000000"/>
                                <w:sz w:val="22"/>
                              </w:rPr>
                            </w:pPr>
                            <w:bookmarkStart w:id="12" w:name="_Toc213247490"/>
                            <w:r>
                              <w:t xml:space="preserve">Figure </w:t>
                            </w:r>
                            <w:r>
                              <w:fldChar w:fldCharType="begin"/>
                            </w:r>
                            <w:r>
                              <w:instrText xml:space="preserve"> SEQ Figure \* ARABIC </w:instrText>
                            </w:r>
                            <w:r>
                              <w:fldChar w:fldCharType="separate"/>
                            </w:r>
                            <w:r w:rsidR="00D47095">
                              <w:rPr>
                                <w:noProof/>
                              </w:rPr>
                              <w:t>6</w:t>
                            </w:r>
                            <w:r>
                              <w:fldChar w:fldCharType="end"/>
                            </w:r>
                            <w:r>
                              <w:t>: VFIAX's performance statistics</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96FB11" id="_x0000_s1029" type="#_x0000_t202" style="position:absolute;left:0;text-align:left;margin-left:220.5pt;margin-top:129.45pt;width:270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" stroked="f">
                <v:textbox style="mso-fit-shape-to-text:t" inset="0,0,0,0">
                  <w:txbxContent>
                    <w:p w14:paraId="7DF159DC" w14:textId="649B7E32" w:rsidR="00C62630" w:rsidRPr="008B64F1" w:rsidRDefault="00C62630" w:rsidP="00C62630">
                      <w:pPr>
                        <w:pStyle w:val="Caption"/>
                        <w:jc w:val="center"/>
                        <w:rPr>
                          <w:noProof/>
                          <w:color w:val="000000"/>
                          <w:sz w:val="22"/>
                        </w:rPr>
                      </w:pPr>
                      <w:bookmarkStart w:id="13" w:name="_Toc213247490"/>
                      <w:r>
                        <w:t xml:space="preserve">Figure </w:t>
                      </w:r>
                      <w:r>
                        <w:fldChar w:fldCharType="begin"/>
                      </w:r>
                      <w:r>
                        <w:instrText xml:space="preserve"> SEQ Figure \* ARABIC </w:instrText>
                      </w:r>
                      <w:r>
                        <w:fldChar w:fldCharType="separate"/>
                      </w:r>
                      <w:r w:rsidR="00D47095">
                        <w:rPr>
                          <w:noProof/>
                        </w:rPr>
                        <w:t>6</w:t>
                      </w:r>
                      <w:r>
                        <w:fldChar w:fldCharType="end"/>
                      </w:r>
                      <w:r>
                        <w:t>: VFIAX's performance statistics</w:t>
                      </w:r>
                      <w:bookmarkEnd w:id="13"/>
                    </w:p>
                  </w:txbxContent>
                </v:textbox>
                <w10:wrap type="square"/>
              </v:shape>
            </w:pict>
          </mc:Fallback>
        </mc:AlternateContent>
      </w:r>
      <w:r w:rsidR="008703C1" w:rsidRPr="00012A03">
        <w:rPr>
          <w:noProof/>
          <w:sz w:val="24"/>
        </w:rPr>
        <w:drawing>
          <wp:anchor distT="0" distB="0" distL="114300" distR="114300" simplePos="0" relativeHeight="251656704" behindDoc="0" locked="0" layoutInCell="1" allowOverlap="0" wp14:anchorId="1DB42F58" wp14:editId="24890475">
            <wp:simplePos x="0" y="0"/>
            <wp:positionH relativeFrom="column">
              <wp:posOffset>2800350</wp:posOffset>
            </wp:positionH>
            <wp:positionV relativeFrom="paragraph">
              <wp:posOffset>34862</wp:posOffset>
            </wp:positionV>
            <wp:extent cx="3429000" cy="1552575"/>
            <wp:effectExtent l="0" t="0" r="0" b="0"/>
            <wp:wrapSquare wrapText="bothSides"/>
            <wp:docPr id="5690" name="Picture 5690"/>
            <wp:cNvGraphicFramePr/>
            <a:graphic xmlns:a="http://schemas.openxmlformats.org/drawingml/2006/main">
              <a:graphicData uri="http://schemas.openxmlformats.org/drawingml/2006/picture">
                <pic:pic xmlns:pic="http://schemas.openxmlformats.org/drawingml/2006/picture">
                  <pic:nvPicPr>
                    <pic:cNvPr id="5690" name="Picture 5690"/>
                    <pic:cNvPicPr/>
                  </pic:nvPicPr>
                  <pic:blipFill>
                    <a:blip r:embed="rId14"/>
                    <a:stretch>
                      <a:fillRect/>
                    </a:stretch>
                  </pic:blipFill>
                  <pic:spPr>
                    <a:xfrm>
                      <a:off x="0" y="0"/>
                      <a:ext cx="3429000" cy="1552575"/>
                    </a:xfrm>
                    <a:prstGeom prst="rect">
                      <a:avLst/>
                    </a:prstGeom>
                  </pic:spPr>
                </pic:pic>
              </a:graphicData>
            </a:graphic>
          </wp:anchor>
        </w:drawing>
      </w:r>
      <w:r w:rsidR="008703C1" w:rsidRPr="00012A03">
        <w:rPr>
          <w:b/>
          <w:sz w:val="24"/>
        </w:rPr>
        <w:t xml:space="preserve">Who </w:t>
      </w:r>
      <w:r w:rsidR="00D47095" w:rsidRPr="00012A03">
        <w:rPr>
          <w:b/>
          <w:sz w:val="24"/>
        </w:rPr>
        <w:t>s</w:t>
      </w:r>
      <w:r w:rsidR="008703C1" w:rsidRPr="00012A03">
        <w:rPr>
          <w:b/>
          <w:sz w:val="24"/>
        </w:rPr>
        <w:t xml:space="preserve">hould </w:t>
      </w:r>
      <w:r w:rsidR="00D47095" w:rsidRPr="00012A03">
        <w:rPr>
          <w:b/>
          <w:sz w:val="24"/>
        </w:rPr>
        <w:t>a</w:t>
      </w:r>
      <w:r w:rsidR="008703C1" w:rsidRPr="00012A03">
        <w:rPr>
          <w:b/>
          <w:sz w:val="24"/>
        </w:rPr>
        <w:t xml:space="preserve">void VFIAX? </w:t>
      </w:r>
    </w:p>
    <w:p w14:paraId="7352CBD2" w14:textId="77777777" w:rsidR="00CA51AD" w:rsidRPr="00012A03" w:rsidRDefault="008703C1" w:rsidP="005E523F">
      <w:pPr>
        <w:ind w:left="-5" w:right="108"/>
        <w:rPr>
          <w:sz w:val="24"/>
        </w:rPr>
      </w:pPr>
      <w:r w:rsidRPr="00012A03">
        <w:rPr>
          <w:sz w:val="24"/>
        </w:rPr>
        <w:t xml:space="preserve">Short-term traders seeking quick gains should look elsewhere, as the fund is designed for </w:t>
      </w:r>
      <w:proofErr w:type="gramStart"/>
      <w:r w:rsidRPr="00012A03">
        <w:rPr>
          <w:sz w:val="24"/>
        </w:rPr>
        <w:t>patient capital</w:t>
      </w:r>
      <w:proofErr w:type="gramEnd"/>
      <w:r w:rsidRPr="00012A03">
        <w:rPr>
          <w:sz w:val="24"/>
        </w:rPr>
        <w:t xml:space="preserve"> appreciation. Income-focused investors will find the dividend yield modest compared to dedicated dividend funds. Those seeking downside protection during market corrections won't find it here—VFIAX falls when the S&amp;P 500 falls. </w:t>
      </w:r>
    </w:p>
    <w:p w14:paraId="4BD3A429" w14:textId="3DE5D404" w:rsidR="002D3A3A" w:rsidRPr="002D3A3A" w:rsidRDefault="008703C1" w:rsidP="002D3A3A">
      <w:pPr>
        <w:ind w:left="-5" w:right="108" w:hanging="10"/>
        <w:rPr>
          <w:sz w:val="24"/>
        </w:rPr>
      </w:pPr>
      <w:r w:rsidRPr="00012A03">
        <w:rPr>
          <w:sz w:val="24"/>
        </w:rPr>
        <w:t xml:space="preserve">Additionally, investors wanting exposure to small-cap stocks, international markets, or specific sectors should consider other funds, as VFIAX exclusively holds large-cap U.S. companies with no sector tilt. </w:t>
      </w:r>
    </w:p>
    <w:p w14:paraId="2347F6DB" w14:textId="6F73B14C" w:rsidR="00CA51AD" w:rsidRPr="002D3A3A" w:rsidRDefault="008703C1" w:rsidP="002D3A3A">
      <w:pPr>
        <w:pStyle w:val="Headings"/>
      </w:pPr>
      <w:bookmarkStart w:id="14" w:name="_Toc213247482"/>
      <w:r w:rsidRPr="002D3A3A">
        <w:rPr>
          <w:rStyle w:val="HeadingsChar"/>
          <w:b/>
        </w:rPr>
        <w:t xml:space="preserve">Benchmark </w:t>
      </w:r>
      <w:r w:rsidR="00C77CB8">
        <w:rPr>
          <w:rStyle w:val="HeadingsChar"/>
          <w:b/>
        </w:rPr>
        <w:t>p</w:t>
      </w:r>
      <w:r w:rsidRPr="002D3A3A">
        <w:rPr>
          <w:rStyle w:val="HeadingsChar"/>
          <w:b/>
        </w:rPr>
        <w:t xml:space="preserve">erformance </w:t>
      </w:r>
      <w:r w:rsidR="00C77CB8">
        <w:rPr>
          <w:rStyle w:val="HeadingsChar"/>
          <w:b/>
        </w:rPr>
        <w:t>c</w:t>
      </w:r>
      <w:r w:rsidRPr="002D3A3A">
        <w:rPr>
          <w:rStyle w:val="HeadingsChar"/>
          <w:b/>
        </w:rPr>
        <w:t>omparison</w:t>
      </w:r>
      <w:bookmarkEnd w:id="14"/>
    </w:p>
    <w:p w14:paraId="1AD5E283" w14:textId="77777777" w:rsidR="00CA51AD" w:rsidRPr="00012A03" w:rsidRDefault="008703C1" w:rsidP="005E523F">
      <w:pPr>
        <w:ind w:left="-5" w:right="108"/>
        <w:rPr>
          <w:sz w:val="24"/>
        </w:rPr>
      </w:pPr>
      <w:r w:rsidRPr="00012A03">
        <w:rPr>
          <w:sz w:val="24"/>
        </w:rPr>
        <w:t>VFIAX's primary objective is to track the S&amp;P 500 Index rather than outperform it. The following analysis examines how well the fund achieves this goal and how it compares to similar funds.</w:t>
      </w:r>
    </w:p>
    <w:p w14:paraId="1AD668E9" w14:textId="77777777" w:rsidR="00D47095" w:rsidRPr="00012A03" w:rsidRDefault="008703C1" w:rsidP="005E523F">
      <w:pPr>
        <w:keepNext/>
        <w:jc w:val="right"/>
        <w:rPr>
          <w:sz w:val="24"/>
        </w:rPr>
      </w:pPr>
      <w:r w:rsidRPr="00012A03">
        <w:rPr>
          <w:noProof/>
          <w:sz w:val="24"/>
        </w:rPr>
        <w:drawing>
          <wp:inline distT="0" distB="0" distL="0" distR="0" wp14:anchorId="377CCCE7" wp14:editId="49CD8FEF">
            <wp:extent cx="5943600" cy="1666875"/>
            <wp:effectExtent l="0" t="0" r="0" b="0"/>
            <wp:docPr id="6331" name="Picture 6331"/>
            <wp:cNvGraphicFramePr/>
            <a:graphic xmlns:a="http://schemas.openxmlformats.org/drawingml/2006/main">
              <a:graphicData uri="http://schemas.openxmlformats.org/drawingml/2006/picture">
                <pic:pic xmlns:pic="http://schemas.openxmlformats.org/drawingml/2006/picture">
                  <pic:nvPicPr>
                    <pic:cNvPr id="6331" name="Picture 6331"/>
                    <pic:cNvPicPr/>
                  </pic:nvPicPr>
                  <pic:blipFill>
                    <a:blip r:embed="rId15"/>
                    <a:stretch>
                      <a:fillRect/>
                    </a:stretch>
                  </pic:blipFill>
                  <pic:spPr>
                    <a:xfrm>
                      <a:off x="0" y="0"/>
                      <a:ext cx="5943600" cy="1666875"/>
                    </a:xfrm>
                    <a:prstGeom prst="rect">
                      <a:avLst/>
                    </a:prstGeom>
                  </pic:spPr>
                </pic:pic>
              </a:graphicData>
            </a:graphic>
          </wp:inline>
        </w:drawing>
      </w:r>
    </w:p>
    <w:p w14:paraId="68D3059D" w14:textId="590795D0" w:rsidR="008355F9" w:rsidRPr="001430FA" w:rsidRDefault="00D47095" w:rsidP="008355F9">
      <w:pPr>
        <w:pStyle w:val="Caption"/>
        <w:spacing w:after="160" w:line="480" w:lineRule="auto"/>
        <w:jc w:val="center"/>
      </w:pPr>
      <w:bookmarkStart w:id="15" w:name="_Toc213247491"/>
      <w:r w:rsidRPr="001430FA">
        <w:t xml:space="preserve">Figure </w:t>
      </w:r>
      <w:r w:rsidRPr="001430FA">
        <w:fldChar w:fldCharType="begin"/>
      </w:r>
      <w:r w:rsidRPr="001430FA">
        <w:instrText xml:space="preserve"> SEQ Figure \* ARABIC </w:instrText>
      </w:r>
      <w:r w:rsidRPr="001430FA">
        <w:fldChar w:fldCharType="separate"/>
      </w:r>
      <w:r w:rsidRPr="001430FA">
        <w:rPr>
          <w:noProof/>
        </w:rPr>
        <w:t>7</w:t>
      </w:r>
      <w:r w:rsidRPr="001430FA">
        <w:fldChar w:fldCharType="end"/>
      </w:r>
      <w:r w:rsidRPr="001430FA">
        <w:t>: VFIAX's performance compared to average large blend funds</w:t>
      </w:r>
      <w:bookmarkEnd w:id="15"/>
      <w:r w:rsidR="008703C1" w:rsidRPr="001430FA">
        <w:t xml:space="preserve"> </w:t>
      </w:r>
    </w:p>
    <w:p w14:paraId="5D2B8EB4" w14:textId="5170A0BB" w:rsidR="00CA51AD" w:rsidRPr="00012A03" w:rsidRDefault="008703C1" w:rsidP="005E523F">
      <w:pPr>
        <w:ind w:left="-5"/>
        <w:rPr>
          <w:sz w:val="24"/>
        </w:rPr>
      </w:pPr>
      <w:r w:rsidRPr="00012A03">
        <w:rPr>
          <w:b/>
          <w:sz w:val="24"/>
        </w:rPr>
        <w:t>F</w:t>
      </w:r>
      <w:r w:rsidRPr="00012A03">
        <w:rPr>
          <w:b/>
          <w:sz w:val="24"/>
        </w:rPr>
        <w:t xml:space="preserve">und </w:t>
      </w:r>
      <w:r w:rsidR="00D47095" w:rsidRPr="00012A03">
        <w:rPr>
          <w:b/>
          <w:sz w:val="24"/>
        </w:rPr>
        <w:t>p</w:t>
      </w:r>
      <w:r w:rsidRPr="00012A03">
        <w:rPr>
          <w:b/>
          <w:sz w:val="24"/>
        </w:rPr>
        <w:t xml:space="preserve">erformance vs. </w:t>
      </w:r>
      <w:r w:rsidR="00D47095" w:rsidRPr="00012A03">
        <w:rPr>
          <w:b/>
          <w:sz w:val="24"/>
        </w:rPr>
        <w:t>b</w:t>
      </w:r>
      <w:r w:rsidRPr="00012A03">
        <w:rPr>
          <w:b/>
          <w:sz w:val="24"/>
        </w:rPr>
        <w:t xml:space="preserve">enchmark: </w:t>
      </w:r>
    </w:p>
    <w:p w14:paraId="6B0E815B" w14:textId="77777777" w:rsidR="00CA51AD" w:rsidRPr="00012A03" w:rsidRDefault="008703C1" w:rsidP="005E523F">
      <w:pPr>
        <w:ind w:left="-5" w:right="108"/>
        <w:rPr>
          <w:sz w:val="24"/>
        </w:rPr>
      </w:pPr>
      <w:r w:rsidRPr="00012A03">
        <w:rPr>
          <w:sz w:val="24"/>
        </w:rPr>
        <w:t xml:space="preserve">VFIAX achieves its objective of closely tracking the S&amp;P 500 Index. The fund consistently underperforms its benchmark by a small </w:t>
      </w:r>
      <w:proofErr w:type="gramStart"/>
      <w:r w:rsidRPr="00012A03">
        <w:rPr>
          <w:sz w:val="24"/>
        </w:rPr>
        <w:t>margin</w:t>
      </w:r>
      <w:proofErr w:type="gramEnd"/>
      <w:r w:rsidRPr="00012A03">
        <w:rPr>
          <w:sz w:val="24"/>
        </w:rPr>
        <w:t xml:space="preserve"> typically 0.03% to 0.05% </w:t>
      </w:r>
      <w:proofErr w:type="gramStart"/>
      <w:r w:rsidRPr="00012A03">
        <w:rPr>
          <w:sz w:val="24"/>
        </w:rPr>
        <w:t>annually</w:t>
      </w:r>
      <w:proofErr w:type="gramEnd"/>
      <w:r w:rsidRPr="00012A03">
        <w:rPr>
          <w:sz w:val="24"/>
        </w:rPr>
        <w:t xml:space="preserve"> which directly corresponds to its 0.04% expense ratio. This is the expected outcome for a passive index fund and indicates successful execution of the fund's strategy. </w:t>
      </w:r>
    </w:p>
    <w:p w14:paraId="03A87CD1" w14:textId="2AF65CD9" w:rsidR="008355F9" w:rsidRPr="001430FA" w:rsidRDefault="008703C1" w:rsidP="001430FA">
      <w:pPr>
        <w:ind w:left="-5" w:right="108"/>
        <w:rPr>
          <w:sz w:val="24"/>
        </w:rPr>
      </w:pPr>
      <w:r w:rsidRPr="00012A03">
        <w:rPr>
          <w:sz w:val="24"/>
        </w:rPr>
        <w:t xml:space="preserve">For example, if the S&amp;P 500 returns 25% </w:t>
      </w:r>
      <w:proofErr w:type="gramStart"/>
      <w:r w:rsidRPr="00012A03">
        <w:rPr>
          <w:sz w:val="24"/>
        </w:rPr>
        <w:t>in a given year</w:t>
      </w:r>
      <w:proofErr w:type="gramEnd"/>
      <w:r w:rsidRPr="00012A03">
        <w:rPr>
          <w:sz w:val="24"/>
        </w:rPr>
        <w:t xml:space="preserve">, VFIAX would be expected to return approximately 24.96% after accounting for fees. The fund maintains a tracking error below 0.03%, meaning its returns deviate minimally from the benchmark. This tight tracking demonstrates Vanguard's effective index replication strategy. </w:t>
      </w:r>
    </w:p>
    <w:p w14:paraId="666BEBFD" w14:textId="4941FD8A" w:rsidR="00CA51AD" w:rsidRPr="00012A03" w:rsidRDefault="008703C1" w:rsidP="005E523F">
      <w:pPr>
        <w:ind w:left="-5"/>
        <w:rPr>
          <w:sz w:val="24"/>
        </w:rPr>
      </w:pPr>
      <w:r w:rsidRPr="00012A03">
        <w:rPr>
          <w:b/>
          <w:sz w:val="24"/>
        </w:rPr>
        <w:t xml:space="preserve">Comparison to </w:t>
      </w:r>
      <w:r w:rsidR="00D47095" w:rsidRPr="00012A03">
        <w:rPr>
          <w:b/>
          <w:sz w:val="24"/>
        </w:rPr>
        <w:t>p</w:t>
      </w:r>
      <w:r w:rsidRPr="00012A03">
        <w:rPr>
          <w:b/>
          <w:sz w:val="24"/>
        </w:rPr>
        <w:t xml:space="preserve">eer </w:t>
      </w:r>
      <w:r w:rsidR="00D47095" w:rsidRPr="00012A03">
        <w:rPr>
          <w:b/>
          <w:sz w:val="24"/>
        </w:rPr>
        <w:t>f</w:t>
      </w:r>
      <w:r w:rsidRPr="00012A03">
        <w:rPr>
          <w:b/>
          <w:sz w:val="24"/>
        </w:rPr>
        <w:t xml:space="preserve">unds: </w:t>
      </w:r>
    </w:p>
    <w:p w14:paraId="5549430B" w14:textId="77777777" w:rsidR="00CA51AD" w:rsidRPr="00012A03" w:rsidRDefault="008703C1" w:rsidP="005E523F">
      <w:pPr>
        <w:ind w:left="-5" w:right="108"/>
        <w:rPr>
          <w:sz w:val="24"/>
        </w:rPr>
      </w:pPr>
      <w:r w:rsidRPr="00012A03">
        <w:rPr>
          <w:sz w:val="24"/>
        </w:rPr>
        <w:t>While VFIAX slightly trails its benchmark, it significantly outperforms the average large blend mutual fund. In 2023, VFIAX returned 26.24% compared to the category average of 22.32%</w:t>
      </w:r>
      <w:proofErr w:type="gramStart"/>
      <w:r w:rsidRPr="00012A03">
        <w:rPr>
          <w:sz w:val="24"/>
        </w:rPr>
        <w:t xml:space="preserve"> a difference</w:t>
      </w:r>
      <w:proofErr w:type="gramEnd"/>
      <w:r w:rsidRPr="00012A03">
        <w:rPr>
          <w:sz w:val="24"/>
        </w:rPr>
        <w:t xml:space="preserve"> of 3.92 percentage points. Similar patterns appear across most years, with VFIAX beating the category average by 2-3% annually. </w:t>
      </w:r>
    </w:p>
    <w:p w14:paraId="20B4DC80" w14:textId="4EF7F086" w:rsidR="00CA51AD" w:rsidRPr="00012A03" w:rsidRDefault="008703C1" w:rsidP="005E523F">
      <w:pPr>
        <w:ind w:left="-5"/>
        <w:rPr>
          <w:sz w:val="24"/>
        </w:rPr>
      </w:pPr>
      <w:r w:rsidRPr="00012A03">
        <w:rPr>
          <w:b/>
          <w:sz w:val="24"/>
        </w:rPr>
        <w:t xml:space="preserve">Did the </w:t>
      </w:r>
      <w:r w:rsidR="00D47095" w:rsidRPr="00012A03">
        <w:rPr>
          <w:b/>
          <w:sz w:val="24"/>
        </w:rPr>
        <w:t>f</w:t>
      </w:r>
      <w:r w:rsidRPr="00012A03">
        <w:rPr>
          <w:b/>
          <w:sz w:val="24"/>
        </w:rPr>
        <w:t xml:space="preserve">und </w:t>
      </w:r>
      <w:r w:rsidR="00D47095" w:rsidRPr="00012A03">
        <w:rPr>
          <w:b/>
          <w:sz w:val="24"/>
        </w:rPr>
        <w:t>b</w:t>
      </w:r>
      <w:r w:rsidRPr="00012A03">
        <w:rPr>
          <w:b/>
          <w:sz w:val="24"/>
        </w:rPr>
        <w:t xml:space="preserve">eat the </w:t>
      </w:r>
      <w:r w:rsidR="00D47095" w:rsidRPr="00012A03">
        <w:rPr>
          <w:b/>
          <w:sz w:val="24"/>
        </w:rPr>
        <w:t>b</w:t>
      </w:r>
      <w:r w:rsidRPr="00012A03">
        <w:rPr>
          <w:b/>
          <w:sz w:val="24"/>
        </w:rPr>
        <w:t xml:space="preserve">enchmark? </w:t>
      </w:r>
    </w:p>
    <w:p w14:paraId="557BF0BE" w14:textId="0A1AABE9" w:rsidR="00CA51AD" w:rsidRPr="00012A03" w:rsidRDefault="008703C1" w:rsidP="005E523F">
      <w:pPr>
        <w:ind w:left="-5" w:right="108"/>
        <w:rPr>
          <w:sz w:val="24"/>
        </w:rPr>
      </w:pPr>
      <w:r w:rsidRPr="00012A03">
        <w:rPr>
          <w:sz w:val="24"/>
        </w:rPr>
        <w:t>No, and it was</w:t>
      </w:r>
      <w:r w:rsidR="001430FA">
        <w:rPr>
          <w:sz w:val="24"/>
        </w:rPr>
        <w:t xml:space="preserve"> not</w:t>
      </w:r>
      <w:r w:rsidRPr="00012A03">
        <w:rPr>
          <w:sz w:val="24"/>
        </w:rPr>
        <w:t xml:space="preserve"> supposed to. VFIAX's goal is to match the S&amp;P 500, not beat it. The fund successfully achieves this objective, delivering returns that trail the index by approximately the amount of its expense ratio. For investors seeking market-matching returns at minimal cost, VFIAX performs exactly as intended. </w:t>
      </w:r>
    </w:p>
    <w:p w14:paraId="2511A53C" w14:textId="7AE0FCC9" w:rsidR="00CA51AD" w:rsidRPr="00012A03" w:rsidRDefault="008703C1" w:rsidP="002D3A3A">
      <w:pPr>
        <w:pStyle w:val="Headings"/>
      </w:pPr>
      <w:bookmarkStart w:id="16" w:name="_Toc213247483"/>
      <w:r w:rsidRPr="00012A03">
        <w:t>Conclusion</w:t>
      </w:r>
      <w:bookmarkEnd w:id="16"/>
      <w:r w:rsidRPr="00012A03">
        <w:t xml:space="preserve"> </w:t>
      </w:r>
    </w:p>
    <w:p w14:paraId="05FD3D18" w14:textId="5F1D7BF0" w:rsidR="008355F9" w:rsidRPr="008355F9" w:rsidRDefault="008703C1" w:rsidP="008355F9">
      <w:pPr>
        <w:rPr>
          <w:rFonts w:ascii="Arial" w:eastAsia="Arial" w:hAnsi="Arial" w:cs="Arial"/>
          <w:b/>
          <w:sz w:val="24"/>
        </w:rPr>
      </w:pPr>
      <w:r w:rsidRPr="00012A03">
        <w:rPr>
          <w:color w:val="0F1115"/>
          <w:sz w:val="24"/>
        </w:rPr>
        <w:t>VFIAX's disclosures are comprehensive and transparent, providing investors with all material information necessary to evaluate the fund's strategy, risks, and costs through readily accessible prospectuses, shareholder reports, and regulatory filings. The fund strictly adheres to its stated objective and investment discipline, as evidenced by a tracking error consistently below 0.03%, minimal portfolio turnover of approximately 2.3%, and returns that closely match the S&amp;P 500 Index after accounting for the 0</w:t>
      </w:r>
      <w:r w:rsidRPr="00012A03">
        <w:rPr>
          <w:color w:val="0F1115"/>
          <w:sz w:val="24"/>
        </w:rPr>
        <w:t>.04% expense ratio.</w:t>
      </w:r>
      <w:r w:rsidRPr="00012A03">
        <w:rPr>
          <w:rFonts w:ascii="Arial" w:eastAsia="Arial" w:hAnsi="Arial" w:cs="Arial"/>
          <w:b/>
          <w:sz w:val="24"/>
        </w:rPr>
        <w:t xml:space="preserve"> </w:t>
      </w:r>
    </w:p>
    <w:p w14:paraId="40707BAF" w14:textId="697B700A" w:rsidR="002D3A3A" w:rsidRPr="00012A03" w:rsidRDefault="002D3A3A" w:rsidP="002D3A3A">
      <w:pPr>
        <w:ind w:left="-5"/>
        <w:rPr>
          <w:b/>
          <w:sz w:val="24"/>
        </w:rPr>
      </w:pPr>
      <w:r w:rsidRPr="00012A03">
        <w:rPr>
          <w:b/>
          <w:sz w:val="24"/>
        </w:rPr>
        <w:t xml:space="preserve">Items not disclosed: </w:t>
      </w:r>
    </w:p>
    <w:p w14:paraId="3645BF58" w14:textId="77777777" w:rsidR="002D3A3A" w:rsidRPr="00012A03" w:rsidRDefault="002D3A3A" w:rsidP="002D3A3A">
      <w:pPr>
        <w:ind w:left="-5"/>
        <w:rPr>
          <w:bCs/>
          <w:sz w:val="24"/>
        </w:rPr>
      </w:pPr>
      <w:r w:rsidRPr="00012A03">
        <w:rPr>
          <w:bCs/>
          <w:sz w:val="24"/>
        </w:rPr>
        <w:t xml:space="preserve">The following items were not publicly disclosed: </w:t>
      </w:r>
    </w:p>
    <w:p w14:paraId="2CCA537C" w14:textId="77777777" w:rsidR="002D3A3A" w:rsidRPr="00012A03" w:rsidRDefault="002D3A3A" w:rsidP="002D3A3A">
      <w:pPr>
        <w:numPr>
          <w:ilvl w:val="0"/>
          <w:numId w:val="2"/>
        </w:numPr>
        <w:ind w:right="108"/>
        <w:rPr>
          <w:sz w:val="24"/>
        </w:rPr>
      </w:pPr>
      <w:r w:rsidRPr="00012A03">
        <w:rPr>
          <w:sz w:val="24"/>
        </w:rPr>
        <w:t xml:space="preserve">Formal Investment Policy Statement (IPS) - While investment policies can be inferred from the prospectus, Vanguard does not publish a standalone formal IPS document.  </w:t>
      </w:r>
    </w:p>
    <w:p w14:paraId="68F17E95" w14:textId="77777777" w:rsidR="002D3A3A" w:rsidRPr="00012A03" w:rsidRDefault="002D3A3A" w:rsidP="002D3A3A">
      <w:pPr>
        <w:numPr>
          <w:ilvl w:val="0"/>
          <w:numId w:val="2"/>
        </w:numPr>
        <w:ind w:right="108"/>
        <w:rPr>
          <w:sz w:val="24"/>
        </w:rPr>
      </w:pPr>
      <w:r w:rsidRPr="00012A03">
        <w:rPr>
          <w:sz w:val="24"/>
        </w:rPr>
        <w:t xml:space="preserve">Proprietary trading systems - Details about specific algorithms, trading platforms, and execution strategies remain confidential.  </w:t>
      </w:r>
    </w:p>
    <w:p w14:paraId="1391FF5C" w14:textId="77777777" w:rsidR="002D3A3A" w:rsidRPr="00012A03" w:rsidRDefault="002D3A3A" w:rsidP="002D3A3A">
      <w:pPr>
        <w:numPr>
          <w:ilvl w:val="0"/>
          <w:numId w:val="2"/>
        </w:numPr>
        <w:ind w:right="108"/>
        <w:rPr>
          <w:sz w:val="24"/>
        </w:rPr>
      </w:pPr>
      <w:r w:rsidRPr="00012A03">
        <w:rPr>
          <w:sz w:val="24"/>
        </w:rPr>
        <w:t xml:space="preserve">Portfolio manager compensation - Individual compensation structures for fund managers are not disclosed.  </w:t>
      </w:r>
    </w:p>
    <w:p w14:paraId="62FE2F1B" w14:textId="77777777" w:rsidR="002D3A3A" w:rsidRPr="00012A03" w:rsidRDefault="002D3A3A" w:rsidP="002D3A3A">
      <w:pPr>
        <w:numPr>
          <w:ilvl w:val="0"/>
          <w:numId w:val="2"/>
        </w:numPr>
        <w:ind w:right="108"/>
        <w:rPr>
          <w:sz w:val="24"/>
        </w:rPr>
      </w:pPr>
      <w:r w:rsidRPr="00012A03">
        <w:rPr>
          <w:sz w:val="24"/>
        </w:rPr>
        <w:t xml:space="preserve">Real-time holdings - Intraday portfolio positions are not available; holdings are reported quarterly with a lag.  </w:t>
      </w:r>
    </w:p>
    <w:p w14:paraId="42847460" w14:textId="3DE37F2E" w:rsidR="008355F9" w:rsidRPr="008355F9" w:rsidRDefault="002D3A3A" w:rsidP="005E523F">
      <w:pPr>
        <w:numPr>
          <w:ilvl w:val="0"/>
          <w:numId w:val="2"/>
        </w:numPr>
        <w:ind w:right="108"/>
        <w:rPr>
          <w:sz w:val="24"/>
        </w:rPr>
      </w:pPr>
      <w:r w:rsidRPr="00012A03">
        <w:rPr>
          <w:sz w:val="24"/>
        </w:rPr>
        <w:t>Security-level transaction history - Detailed buy/sell transactions for individual securities are not disclosed publicly. These omissions are standard practice in the mutual fund industry and do not materially impact an investor's ability to assess the fund. All essential information including strategy, holdings, performance, fees, and risks is transparently communicated.</w:t>
      </w:r>
      <w:r w:rsidRPr="00012A03">
        <w:rPr>
          <w:b/>
          <w:color w:val="0F1115"/>
          <w:sz w:val="24"/>
        </w:rPr>
        <w:t xml:space="preserve"> </w:t>
      </w:r>
    </w:p>
    <w:p w14:paraId="2EBDFA8F" w14:textId="77777777" w:rsidR="008355F9" w:rsidRDefault="008355F9">
      <w:pPr>
        <w:rPr>
          <w:rFonts w:eastAsia="Arial"/>
          <w:b/>
          <w:sz w:val="24"/>
        </w:rPr>
      </w:pPr>
      <w:r>
        <w:rPr>
          <w:rFonts w:eastAsia="Arial"/>
          <w:b/>
          <w:sz w:val="24"/>
        </w:rPr>
        <w:br w:type="page"/>
      </w:r>
    </w:p>
    <w:p w14:paraId="20D6B2E6" w14:textId="5B92EDE9" w:rsidR="002D3A3A" w:rsidRDefault="002D3A3A" w:rsidP="005E523F">
      <w:pPr>
        <w:rPr>
          <w:rFonts w:eastAsia="Arial"/>
          <w:b/>
          <w:sz w:val="24"/>
        </w:rPr>
      </w:pPr>
      <w:r w:rsidRPr="002D3A3A">
        <w:rPr>
          <w:rFonts w:eastAsia="Arial"/>
          <w:b/>
          <w:sz w:val="24"/>
        </w:rPr>
        <w:t>Reference:</w:t>
      </w:r>
    </w:p>
    <w:p w14:paraId="4DE068D5" w14:textId="77777777" w:rsidR="008355F9" w:rsidRPr="008355F9" w:rsidRDefault="008355F9" w:rsidP="008355F9">
      <w:pPr>
        <w:pStyle w:val="ListParagraph"/>
        <w:numPr>
          <w:ilvl w:val="0"/>
          <w:numId w:val="4"/>
        </w:numPr>
        <w:rPr>
          <w:rFonts w:eastAsia="Arial"/>
          <w:bCs/>
          <w:sz w:val="24"/>
        </w:rPr>
      </w:pPr>
      <w:r w:rsidRPr="008355F9">
        <w:rPr>
          <w:rFonts w:eastAsia="Arial"/>
          <w:bCs/>
          <w:sz w:val="24"/>
        </w:rPr>
        <w:t xml:space="preserve">Vanguard. (2025). VFIAX - Vanguard 500 Index Fund Admiral Shares. Retrieved from </w:t>
      </w:r>
      <w:hyperlink r:id="rId16" w:tgtFrame="_blank" w:history="1">
        <w:r w:rsidRPr="008355F9">
          <w:rPr>
            <w:rStyle w:val="Hyperlink"/>
            <w:rFonts w:eastAsia="Arial"/>
            <w:b/>
            <w:bCs/>
            <w:sz w:val="24"/>
          </w:rPr>
          <w:t>https://investor.vanguard.com/investment-products/mutual-funds/profile/vfiax</w:t>
        </w:r>
      </w:hyperlink>
      <w:r w:rsidRPr="008355F9">
        <w:rPr>
          <w:rFonts w:eastAsia="Arial"/>
          <w:bCs/>
          <w:sz w:val="24"/>
        </w:rPr>
        <w:t xml:space="preserve"> </w:t>
      </w:r>
    </w:p>
    <w:p w14:paraId="089E807D" w14:textId="77777777" w:rsidR="008355F9" w:rsidRPr="008355F9" w:rsidRDefault="008355F9" w:rsidP="008355F9">
      <w:pPr>
        <w:pStyle w:val="ListParagraph"/>
        <w:numPr>
          <w:ilvl w:val="0"/>
          <w:numId w:val="4"/>
        </w:numPr>
        <w:rPr>
          <w:rFonts w:eastAsia="Arial"/>
          <w:bCs/>
          <w:sz w:val="24"/>
        </w:rPr>
      </w:pPr>
      <w:r w:rsidRPr="008355F9">
        <w:rPr>
          <w:rFonts w:eastAsia="Arial"/>
          <w:bCs/>
          <w:sz w:val="24"/>
        </w:rPr>
        <w:t>Yahoo Finance. (2025). VFIAX Historical Data. Retrieved from</w:t>
      </w:r>
      <w:r w:rsidRPr="008355F9">
        <w:rPr>
          <w:rFonts w:eastAsia="Arial"/>
          <w:bCs/>
          <w:sz w:val="24"/>
        </w:rPr>
        <w:t xml:space="preserve"> </w:t>
      </w:r>
      <w:hyperlink r:id="rId17" w:history="1">
        <w:r w:rsidRPr="008355F9">
          <w:rPr>
            <w:rStyle w:val="Hyperlink"/>
            <w:rFonts w:eastAsia="Arial"/>
            <w:b/>
            <w:bCs/>
            <w:sz w:val="24"/>
          </w:rPr>
          <w:t>https://finance.yahoo.com/quote/VFIAX/history</w:t>
        </w:r>
      </w:hyperlink>
      <w:r w:rsidRPr="008355F9">
        <w:rPr>
          <w:rFonts w:eastAsia="Arial"/>
          <w:bCs/>
          <w:sz w:val="24"/>
        </w:rPr>
        <w:t xml:space="preserve"> </w:t>
      </w:r>
    </w:p>
    <w:p w14:paraId="69A6BA34" w14:textId="77777777" w:rsidR="008355F9" w:rsidRPr="008355F9" w:rsidRDefault="008355F9" w:rsidP="008355F9">
      <w:pPr>
        <w:pStyle w:val="ListParagraph"/>
        <w:numPr>
          <w:ilvl w:val="0"/>
          <w:numId w:val="4"/>
        </w:numPr>
        <w:rPr>
          <w:rFonts w:eastAsia="Arial"/>
          <w:bCs/>
          <w:sz w:val="24"/>
        </w:rPr>
      </w:pPr>
      <w:r w:rsidRPr="008355F9">
        <w:rPr>
          <w:rFonts w:eastAsia="Arial"/>
          <w:bCs/>
          <w:sz w:val="24"/>
        </w:rPr>
        <w:t xml:space="preserve">S&amp;P Dow Jones Indices. (2025). S&amp;P 500 Index Historical Data. Retrieved from </w:t>
      </w:r>
      <w:hyperlink r:id="rId18" w:tgtFrame="_blank" w:history="1">
        <w:r w:rsidRPr="008355F9">
          <w:rPr>
            <w:rStyle w:val="Hyperlink"/>
            <w:rFonts w:eastAsia="Arial"/>
            <w:b/>
            <w:bCs/>
            <w:sz w:val="24"/>
          </w:rPr>
          <w:t>https://www.spglobal.com/spdji/en/indices/equity/sp-500/</w:t>
        </w:r>
      </w:hyperlink>
      <w:r w:rsidRPr="008355F9">
        <w:rPr>
          <w:rFonts w:eastAsia="Arial"/>
          <w:bCs/>
          <w:sz w:val="24"/>
        </w:rPr>
        <w:t xml:space="preserve"> </w:t>
      </w:r>
    </w:p>
    <w:p w14:paraId="45075C5D" w14:textId="43B3F40F" w:rsidR="008355F9" w:rsidRPr="008355F9" w:rsidRDefault="008355F9" w:rsidP="008355F9">
      <w:pPr>
        <w:pStyle w:val="ListParagraph"/>
        <w:numPr>
          <w:ilvl w:val="0"/>
          <w:numId w:val="4"/>
        </w:numPr>
        <w:rPr>
          <w:rFonts w:eastAsia="Arial"/>
          <w:bCs/>
          <w:sz w:val="24"/>
        </w:rPr>
      </w:pPr>
      <w:r w:rsidRPr="008355F9">
        <w:rPr>
          <w:rFonts w:eastAsia="Arial"/>
          <w:bCs/>
          <w:sz w:val="24"/>
        </w:rPr>
        <w:t xml:space="preserve">Federal Reserve Economic Data (FRED). (2025). 3-Month Treasury Bill Secondary Market Rate. Federal Reserve Bank of St. Louis. Retrieved from </w:t>
      </w:r>
      <w:hyperlink r:id="rId19" w:tgtFrame="_blank" w:history="1">
        <w:r w:rsidRPr="008355F9">
          <w:rPr>
            <w:rStyle w:val="Hyperlink"/>
            <w:rFonts w:eastAsia="Arial"/>
            <w:b/>
            <w:bCs/>
            <w:sz w:val="24"/>
          </w:rPr>
          <w:t>https://fred.stlouisfed.org/series/TB3MS</w:t>
        </w:r>
      </w:hyperlink>
    </w:p>
    <w:p w14:paraId="336643E8" w14:textId="2A576C55" w:rsidR="002D3A3A" w:rsidRDefault="008355F9" w:rsidP="008355F9">
      <w:pPr>
        <w:pStyle w:val="ListParagraph"/>
        <w:numPr>
          <w:ilvl w:val="0"/>
          <w:numId w:val="4"/>
        </w:numPr>
        <w:rPr>
          <w:rFonts w:eastAsia="Arial"/>
          <w:bCs/>
          <w:sz w:val="24"/>
        </w:rPr>
      </w:pPr>
      <w:r w:rsidRPr="008355F9">
        <w:rPr>
          <w:rFonts w:eastAsia="Arial"/>
          <w:bCs/>
          <w:sz w:val="24"/>
        </w:rPr>
        <w:t xml:space="preserve">Index Fund &amp; Performance Analysis: Malkiel, B. G. (2019). A Random Walk Down Wall Street (12th ed.). W. W. Norton &amp; Company. Morningstar. (2025) </w:t>
      </w:r>
    </w:p>
    <w:p w14:paraId="246B5334" w14:textId="77777777" w:rsidR="008355F9" w:rsidRDefault="008355F9" w:rsidP="008355F9">
      <w:pPr>
        <w:pStyle w:val="ListParagraph"/>
        <w:numPr>
          <w:ilvl w:val="0"/>
          <w:numId w:val="4"/>
        </w:numPr>
        <w:rPr>
          <w:rFonts w:eastAsia="Arial"/>
          <w:bCs/>
          <w:sz w:val="24"/>
        </w:rPr>
      </w:pPr>
      <w:r w:rsidRPr="008355F9">
        <w:rPr>
          <w:rFonts w:eastAsia="Arial"/>
          <w:bCs/>
          <w:sz w:val="24"/>
        </w:rPr>
        <w:t xml:space="preserve">VFIAX Fund Analysis and Performance Data. Retrieved from </w:t>
      </w:r>
      <w:hyperlink r:id="rId20" w:tgtFrame="_blank" w:history="1">
        <w:r w:rsidRPr="008355F9">
          <w:rPr>
            <w:rStyle w:val="Hyperlink"/>
            <w:rFonts w:eastAsia="Arial"/>
            <w:b/>
            <w:bCs/>
            <w:sz w:val="24"/>
          </w:rPr>
          <w:t>https://www.morningstar.com</w:t>
        </w:r>
      </w:hyperlink>
      <w:r w:rsidRPr="008355F9">
        <w:rPr>
          <w:rFonts w:eastAsia="Arial"/>
          <w:bCs/>
          <w:sz w:val="24"/>
        </w:rPr>
        <w:t xml:space="preserve"> Statistical Methods: Brooks, C. (2019). Introductory Econometrics for Finance (4th ed.). Cambridge University Press. </w:t>
      </w:r>
    </w:p>
    <w:p w14:paraId="728AB54A" w14:textId="485FF5F3" w:rsidR="008355F9" w:rsidRPr="008355F9" w:rsidRDefault="008355F9" w:rsidP="008355F9">
      <w:pPr>
        <w:pStyle w:val="ListParagraph"/>
        <w:numPr>
          <w:ilvl w:val="0"/>
          <w:numId w:val="4"/>
        </w:numPr>
        <w:rPr>
          <w:rFonts w:eastAsia="Arial"/>
          <w:bCs/>
          <w:sz w:val="24"/>
        </w:rPr>
      </w:pPr>
      <w:r w:rsidRPr="008355F9">
        <w:rPr>
          <w:rFonts w:eastAsia="Arial"/>
          <w:bCs/>
          <w:sz w:val="24"/>
        </w:rPr>
        <w:t xml:space="preserve">Regulatory Information: U.S. Securities and Exchange Commission (SEC). (2025). Investment Company Act of 1940. Retrieved from </w:t>
      </w:r>
      <w:hyperlink r:id="rId21" w:tgtFrame="_blank" w:history="1">
        <w:r w:rsidRPr="008355F9">
          <w:rPr>
            <w:rStyle w:val="Hyperlink"/>
            <w:rFonts w:eastAsia="Arial"/>
            <w:b/>
            <w:bCs/>
            <w:sz w:val="24"/>
          </w:rPr>
          <w:t>https://www.sec.gov</w:t>
        </w:r>
      </w:hyperlink>
    </w:p>
    <w:sectPr w:rsidR="008355F9" w:rsidRPr="008355F9" w:rsidSect="00C77CB8">
      <w:footerReference w:type="even" r:id="rId22"/>
      <w:footerReference w:type="default" r:id="rId23"/>
      <w:footerReference w:type="first" r:id="rId24"/>
      <w:pgSz w:w="12240" w:h="15840" w:code="1"/>
      <w:pgMar w:top="1152" w:right="1152" w:bottom="1152" w:left="1152" w:header="720" w:footer="76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866FA" w14:textId="77777777" w:rsidR="00AF593E" w:rsidRDefault="00AF593E">
      <w:pPr>
        <w:spacing w:after="0" w:line="240" w:lineRule="auto"/>
      </w:pPr>
      <w:r>
        <w:separator/>
      </w:r>
    </w:p>
  </w:endnote>
  <w:endnote w:type="continuationSeparator" w:id="0">
    <w:p w14:paraId="786362DA" w14:textId="77777777" w:rsidR="00AF593E" w:rsidRDefault="00AF5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8DC8" w14:textId="77777777" w:rsidR="00CA51AD" w:rsidRDefault="008703C1">
    <w:pPr>
      <w:spacing w:after="0" w:line="259" w:lineRule="auto"/>
      <w:ind w:right="115"/>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E5C7D" w14:textId="77777777" w:rsidR="00CA51AD" w:rsidRDefault="008703C1">
    <w:pPr>
      <w:spacing w:after="0" w:line="259" w:lineRule="auto"/>
      <w:ind w:right="115"/>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957DA" w14:textId="6C8BB24D" w:rsidR="00CA51AD" w:rsidRDefault="00CA51AD">
    <w:pPr>
      <w:spacing w:after="0" w:line="259" w:lineRule="auto"/>
      <w:ind w:right="115"/>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C3769" w14:textId="77777777" w:rsidR="00AF593E" w:rsidRDefault="00AF593E">
      <w:pPr>
        <w:spacing w:after="0" w:line="240" w:lineRule="auto"/>
      </w:pPr>
      <w:r>
        <w:separator/>
      </w:r>
    </w:p>
  </w:footnote>
  <w:footnote w:type="continuationSeparator" w:id="0">
    <w:p w14:paraId="7C36A297" w14:textId="77777777" w:rsidR="00AF593E" w:rsidRDefault="00AF5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7C9C"/>
    <w:multiLevelType w:val="hybridMultilevel"/>
    <w:tmpl w:val="6E8ECD04"/>
    <w:lvl w:ilvl="0" w:tplc="88BC21C0">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D4703C">
      <w:start w:val="1"/>
      <w:numFmt w:val="lowerLetter"/>
      <w:lvlText w:val="%2"/>
      <w:lvlJc w:val="left"/>
      <w:pPr>
        <w:ind w:left="1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8FAF634">
      <w:start w:val="1"/>
      <w:numFmt w:val="lowerRoman"/>
      <w:lvlText w:val="%3"/>
      <w:lvlJc w:val="left"/>
      <w:pPr>
        <w:ind w:left="1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7051CC">
      <w:start w:val="1"/>
      <w:numFmt w:val="decimal"/>
      <w:lvlText w:val="%4"/>
      <w:lvlJc w:val="left"/>
      <w:pPr>
        <w:ind w:left="2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78BF46">
      <w:start w:val="1"/>
      <w:numFmt w:val="lowerLetter"/>
      <w:lvlText w:val="%5"/>
      <w:lvlJc w:val="left"/>
      <w:pPr>
        <w:ind w:left="3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84ED64">
      <w:start w:val="1"/>
      <w:numFmt w:val="lowerRoman"/>
      <w:lvlText w:val="%6"/>
      <w:lvlJc w:val="left"/>
      <w:pPr>
        <w:ind w:left="3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42D11E">
      <w:start w:val="1"/>
      <w:numFmt w:val="decimal"/>
      <w:lvlText w:val="%7"/>
      <w:lvlJc w:val="left"/>
      <w:pPr>
        <w:ind w:left="4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CDE81B8">
      <w:start w:val="1"/>
      <w:numFmt w:val="lowerLetter"/>
      <w:lvlText w:val="%8"/>
      <w:lvlJc w:val="left"/>
      <w:pPr>
        <w:ind w:left="5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12D848">
      <w:start w:val="1"/>
      <w:numFmt w:val="lowerRoman"/>
      <w:lvlText w:val="%9"/>
      <w:lvlJc w:val="left"/>
      <w:pPr>
        <w:ind w:left="61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AB5172"/>
    <w:multiLevelType w:val="hybridMultilevel"/>
    <w:tmpl w:val="98B4A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7C7C33"/>
    <w:multiLevelType w:val="hybridMultilevel"/>
    <w:tmpl w:val="05B44CD6"/>
    <w:lvl w:ilvl="0" w:tplc="0EF63A1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0C5BB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08410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70EDB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DAACD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72B01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645CC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FEFBE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DC7F9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6044FF2"/>
    <w:multiLevelType w:val="multilevel"/>
    <w:tmpl w:val="0CBA7934"/>
    <w:lvl w:ilvl="0">
      <w:start w:val="1"/>
      <w:numFmt w:val="decimal"/>
      <w:pStyle w:val="Headings"/>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65569389">
    <w:abstractNumId w:val="2"/>
  </w:num>
  <w:num w:numId="2" w16cid:durableId="91435073">
    <w:abstractNumId w:val="0"/>
  </w:num>
  <w:num w:numId="3" w16cid:durableId="1625185729">
    <w:abstractNumId w:val="3"/>
  </w:num>
  <w:num w:numId="4" w16cid:durableId="1900550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1AD"/>
    <w:rsid w:val="00012A03"/>
    <w:rsid w:val="00124535"/>
    <w:rsid w:val="001430FA"/>
    <w:rsid w:val="002D3A3A"/>
    <w:rsid w:val="003E5C62"/>
    <w:rsid w:val="003F7AA0"/>
    <w:rsid w:val="004E2110"/>
    <w:rsid w:val="005135E8"/>
    <w:rsid w:val="005E523F"/>
    <w:rsid w:val="007611DF"/>
    <w:rsid w:val="00762D24"/>
    <w:rsid w:val="007743F3"/>
    <w:rsid w:val="007A7637"/>
    <w:rsid w:val="007B7AE7"/>
    <w:rsid w:val="007C02DF"/>
    <w:rsid w:val="007F0212"/>
    <w:rsid w:val="008355F9"/>
    <w:rsid w:val="008703C1"/>
    <w:rsid w:val="00AF593E"/>
    <w:rsid w:val="00B322AB"/>
    <w:rsid w:val="00C26D68"/>
    <w:rsid w:val="00C27041"/>
    <w:rsid w:val="00C44043"/>
    <w:rsid w:val="00C62630"/>
    <w:rsid w:val="00C77CB8"/>
    <w:rsid w:val="00CA51AD"/>
    <w:rsid w:val="00D02518"/>
    <w:rsid w:val="00D403CF"/>
    <w:rsid w:val="00D4453A"/>
    <w:rsid w:val="00D47095"/>
    <w:rsid w:val="00E14C78"/>
    <w:rsid w:val="00E915A5"/>
    <w:rsid w:val="00EA168F"/>
    <w:rsid w:val="00F2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3FE4"/>
  <w15:docId w15:val="{8D171BDC-EFED-E04C-9DE9-D8B01F7A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9" w:line="267" w:lineRule="auto"/>
      <w:ind w:left="10" w:right="115"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EA168F"/>
    <w:pPr>
      <w:spacing w:after="200" w:line="240" w:lineRule="auto"/>
    </w:pPr>
    <w:rPr>
      <w:i/>
      <w:iCs/>
      <w:color w:val="0E2841" w:themeColor="text2"/>
      <w:sz w:val="18"/>
      <w:szCs w:val="18"/>
    </w:rPr>
  </w:style>
  <w:style w:type="paragraph" w:customStyle="1" w:styleId="Headings">
    <w:name w:val="Headings"/>
    <w:basedOn w:val="Heading1"/>
    <w:next w:val="Heading1"/>
    <w:link w:val="HeadingsChar"/>
    <w:autoRedefine/>
    <w:qFormat/>
    <w:rsid w:val="002D3A3A"/>
    <w:pPr>
      <w:numPr>
        <w:numId w:val="3"/>
      </w:numPr>
      <w:spacing w:line="480" w:lineRule="auto"/>
      <w:jc w:val="left"/>
    </w:pPr>
    <w:rPr>
      <w:sz w:val="32"/>
    </w:rPr>
  </w:style>
  <w:style w:type="character" w:customStyle="1" w:styleId="HeadingsChar">
    <w:name w:val="Headings Char"/>
    <w:basedOn w:val="DefaultParagraphFont"/>
    <w:link w:val="Headings"/>
    <w:rsid w:val="002D3A3A"/>
    <w:rPr>
      <w:rFonts w:ascii="Times New Roman" w:eastAsia="Times New Roman" w:hAnsi="Times New Roman" w:cs="Times New Roman"/>
      <w:b/>
      <w:color w:val="000000"/>
      <w:sz w:val="32"/>
    </w:rPr>
  </w:style>
  <w:style w:type="paragraph" w:styleId="TOCHeading">
    <w:name w:val="TOC Heading"/>
    <w:basedOn w:val="Heading1"/>
    <w:next w:val="Normal"/>
    <w:uiPriority w:val="39"/>
    <w:unhideWhenUsed/>
    <w:qFormat/>
    <w:rsid w:val="003F7AA0"/>
    <w:pPr>
      <w:spacing w:before="240" w:after="0" w:line="259" w:lineRule="auto"/>
      <w:ind w:left="0" w:right="0" w:firstLine="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3F7AA0"/>
    <w:pPr>
      <w:spacing w:after="100"/>
    </w:pPr>
  </w:style>
  <w:style w:type="character" w:styleId="Hyperlink">
    <w:name w:val="Hyperlink"/>
    <w:basedOn w:val="DefaultParagraphFont"/>
    <w:uiPriority w:val="99"/>
    <w:unhideWhenUsed/>
    <w:rsid w:val="003F7AA0"/>
    <w:rPr>
      <w:color w:val="467886" w:themeColor="hyperlink"/>
      <w:u w:val="single"/>
    </w:rPr>
  </w:style>
  <w:style w:type="paragraph" w:styleId="TableofFigures">
    <w:name w:val="table of figures"/>
    <w:basedOn w:val="Normal"/>
    <w:next w:val="Normal"/>
    <w:uiPriority w:val="99"/>
    <w:unhideWhenUsed/>
    <w:rsid w:val="002D3A3A"/>
    <w:pPr>
      <w:spacing w:after="0"/>
    </w:pPr>
  </w:style>
  <w:style w:type="paragraph" w:styleId="NoSpacing">
    <w:name w:val="No Spacing"/>
    <w:link w:val="NoSpacingChar"/>
    <w:uiPriority w:val="1"/>
    <w:qFormat/>
    <w:rsid w:val="00C77CB8"/>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C77CB8"/>
    <w:rPr>
      <w:kern w:val="0"/>
      <w:sz w:val="22"/>
      <w:szCs w:val="22"/>
      <w:lang w:val="en-US" w:eastAsia="en-US"/>
      <w14:ligatures w14:val="none"/>
    </w:rPr>
  </w:style>
  <w:style w:type="paragraph" w:styleId="Header">
    <w:name w:val="header"/>
    <w:basedOn w:val="Normal"/>
    <w:link w:val="HeaderChar"/>
    <w:uiPriority w:val="99"/>
    <w:unhideWhenUsed/>
    <w:rsid w:val="00C77C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CB8"/>
    <w:rPr>
      <w:rFonts w:ascii="Times New Roman" w:eastAsia="Times New Roman" w:hAnsi="Times New Roman" w:cs="Times New Roman"/>
      <w:color w:val="000000"/>
      <w:sz w:val="22"/>
      <w:lang w:val="en" w:eastAsia="en"/>
    </w:rPr>
  </w:style>
  <w:style w:type="character" w:styleId="UnresolvedMention">
    <w:name w:val="Unresolved Mention"/>
    <w:basedOn w:val="DefaultParagraphFont"/>
    <w:uiPriority w:val="99"/>
    <w:semiHidden/>
    <w:unhideWhenUsed/>
    <w:rsid w:val="008355F9"/>
    <w:rPr>
      <w:color w:val="605E5C"/>
      <w:shd w:val="clear" w:color="auto" w:fill="E1DFDD"/>
    </w:rPr>
  </w:style>
  <w:style w:type="paragraph" w:styleId="ListParagraph">
    <w:name w:val="List Paragraph"/>
    <w:basedOn w:val="Normal"/>
    <w:uiPriority w:val="34"/>
    <w:qFormat/>
    <w:rsid w:val="008355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hyperlink" Target="https://www.spglobal.com/spdji/en/indices/equity/sp-500/"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yperlink" Target="https://www.sec.gov/"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finance.yahoo.com/quote/VFIAX/history"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investor.vanguard.com/investment-products/mutual-funds/profile/vfiax" TargetMode="External"/><Relationship Id="rId20" Type="http://schemas.openxmlformats.org/officeDocument/2006/relationships/hyperlink" Target="https://www.morningstar.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fred.stlouisfed.org/series/TB3M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footer" Target="foot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3A8E2CEF5145729883A14CAC1614F7"/>
        <w:category>
          <w:name w:val="General"/>
          <w:gallery w:val="placeholder"/>
        </w:category>
        <w:types>
          <w:type w:val="bbPlcHdr"/>
        </w:types>
        <w:behaviors>
          <w:behavior w:val="content"/>
        </w:behaviors>
        <w:guid w:val="{0B1964A9-2B57-4409-BBE7-7886958FFA2E}"/>
      </w:docPartPr>
      <w:docPartBody>
        <w:p w:rsidR="004D2F66" w:rsidRDefault="004D2F66" w:rsidP="004D2F66">
          <w:pPr>
            <w:pStyle w:val="2C3A8E2CEF5145729883A14CAC1614F7"/>
          </w:pPr>
          <w:r>
            <w:rPr>
              <w:rFonts w:asciiTheme="majorHAnsi" w:eastAsiaTheme="majorEastAsia" w:hAnsiTheme="majorHAnsi" w:cstheme="majorBidi"/>
              <w:caps/>
              <w:color w:val="156082" w:themeColor="accent1"/>
              <w:sz w:val="80"/>
              <w:szCs w:val="80"/>
            </w:rPr>
            <w:t>[Document title]</w:t>
          </w:r>
        </w:p>
      </w:docPartBody>
    </w:docPart>
    <w:docPart>
      <w:docPartPr>
        <w:name w:val="8B19C19FE98A426F8C5CD8AD75F1346A"/>
        <w:category>
          <w:name w:val="General"/>
          <w:gallery w:val="placeholder"/>
        </w:category>
        <w:types>
          <w:type w:val="bbPlcHdr"/>
        </w:types>
        <w:behaviors>
          <w:behavior w:val="content"/>
        </w:behaviors>
        <w:guid w:val="{13A7F103-BC91-4B6B-871B-1B3A3D12D1EE}"/>
      </w:docPartPr>
      <w:docPartBody>
        <w:p w:rsidR="004D2F66" w:rsidRDefault="004D2F66" w:rsidP="004D2F66">
          <w:pPr>
            <w:pStyle w:val="8B19C19FE98A426F8C5CD8AD75F1346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66"/>
    <w:rsid w:val="004D2F66"/>
    <w:rsid w:val="007C0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3A8E2CEF5145729883A14CAC1614F7">
    <w:name w:val="2C3A8E2CEF5145729883A14CAC1614F7"/>
    <w:rsid w:val="004D2F66"/>
  </w:style>
  <w:style w:type="paragraph" w:customStyle="1" w:styleId="8B19C19FE98A426F8C5CD8AD75F1346A">
    <w:name w:val="8B19C19FE98A426F8C5CD8AD75F1346A"/>
    <w:rsid w:val="004D2F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TEam 2: duc nghia (michael) phan, bansi nirav thakkar, fadi frem boustani, ohene boahen, zhe chen, wenxi liu</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52142E-8D26-44F8-8C6B-AB438C41C4C4}">
  <ds:schemaRefs>
    <ds:schemaRef ds:uri="http://schemas.openxmlformats.org/officeDocument/2006/bibliography"/>
  </ds:schemaRefs>
</ds:datastoreItem>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3</TotalTime>
  <Pages>15</Pages>
  <Words>2895</Words>
  <Characters>16507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FINA 6203: Investment Analysis</vt:lpstr>
    </vt:vector>
  </TitlesOfParts>
  <Company>Presented to Professor paul chiou</Company>
  <LinksUpToDate>false</LinksUpToDate>
  <CharactersWithSpaces>19364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 6203: Investment Analysis</dc:title>
  <dc:subject>Mutual Fund Report: Vanguard 500 Index Fund Admiral Shares (VFIAX)</dc:subject>
  <dc:creator>xoxo xoxo</dc:creator>
  <cp:keywords/>
  <cp:lastModifiedBy>Duc Nghia Phan</cp:lastModifiedBy>
  <cp:revision>2</cp:revision>
  <dcterms:created xsi:type="dcterms:W3CDTF">2025-11-05T20:42:00Z</dcterms:created>
  <dcterms:modified xsi:type="dcterms:W3CDTF">2025-11-05T20:42:00Z</dcterms:modified>
</cp:coreProperties>
</file>