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74F35"/>
          <w:sz w:val="40"/>
          <w:szCs w:val="40"/>
        </w:rPr>
        <w:t xml:space="preserve">Bharat Krishi Niryat Yojana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8651"/>
          <w:sz w:val="28"/>
          <w:szCs w:val="28"/>
        </w:rPr>
        <w:t xml:space="preserve">Checklist of Documents Required</w:t>
      </w:r>
    </w:p>
    <w:p>
      <w:pPr>
        <w:pBdr>
          <w:bottom w:val="single" w:color="174F35" w:sz="8" w:space="6"/>
        </w:pBdr>
        <w:spacing w:after="160"/>
      </w:pPr>
      <w:r>
        <w:rPr>
          <w:rFonts w:ascii="Calibri" w:cs="Calibri" w:eastAsia="Calibri" w:hAnsi="Calibri"/>
          <w:color w:val="5C6A60"/>
          <w:sz w:val="18"/>
          <w:szCs w:val="18"/>
        </w:rPr>
        <w:t xml:space="preserve">APEDA Financial Assistance Guidelines 2026–27 to 2030–31  ·  excludes common infrastructure (1(e), 1(f))</w:t>
      </w:r>
    </w:p>
    <w:p>
      <w:pPr>
        <w:shd w:fill="FCF1DE" w:color="auto" w:val="clear"/>
        <w:spacing w:after="80"/>
      </w:pPr>
      <w:r>
        <w:rPr>
          <w:rFonts w:ascii="Calibri" w:cs="Calibri" w:eastAsia="Calibri" w:hAnsi="Calibri"/>
          <w:color w:val="223529"/>
          <w:sz w:val="18"/>
          <w:szCs w:val="18"/>
        </w:rPr>
        <w:t xml:space="preserve">Section A applies to every applicant. Add the documents for each sub-component applied for (B–D), then the claim (E) and post-payment (F) documents. Annexure numbers refer to the formats in the guidelines.</w:t>
      </w:r>
    </w:p>
    <w:p>
      <w:pPr>
        <w:pStyle w:val="Heading1"/>
        <w:keepNext/>
        <w:pBdr>
          <w:bottom w:val="single" w:color="2D8651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74F35"/>
          <w:sz w:val="26"/>
          <w:szCs w:val="26"/>
        </w:rPr>
        <w:t xml:space="preserve">A. All applicants – at application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00"/>
        <w:gridCol w:w="4086"/>
        <w:gridCol w:w="800"/>
      </w:tblGrid>
      <w:tr>
        <w:trPr>
          <w:tblHeader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 / remarks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Online application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Filed through “Submit BKNY Application” on the APEDA portal, with the non-refundable application fee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Detailed project proposal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Company profile; nature of the project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Existing and proposed infrastructure; expected benefit (capacity / quality)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Existing and proposed process flow chart; market viability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APEDA RCMC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Valid Registration-cum-Membership Certificate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FSSAI registration / licence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NPOP registration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Only for organic products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Aadhaar of proprietor / partners / directors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Declaration of no other central assistance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For the same project, with details of any other applications made (GC 35)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Special-category proof + undertaking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Only if claiming 75%: SC/ST – ≥51% shareholding held ≥1 year; Women – all partners / directors women; Startup – DPIIT certificate, 2–5 years old, turnover ≤ ₹500 lakh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2D8651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74F35"/>
          <w:sz w:val="26"/>
          <w:szCs w:val="26"/>
        </w:rPr>
        <w:t xml:space="preserve">B. Infrastructure – 1(a) to 1(d)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00"/>
        <w:gridCol w:w="4086"/>
        <w:gridCol w:w="800"/>
      </w:tblGrid>
      <w:tr>
        <w:trPr>
          <w:tblHeader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 / remarks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Land document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Any one: title in own name; registered lease valid 15 years; partner’s / director’s land with their NOC. CLU where applicable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Three quotations / proforma invoices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From OEMs / authorised dealers, showing address, GSTN / TIN, PAN, specifications, validity and itemised cost, with technical brochures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Sole-manufacturer / import declaration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Replaces three quotes where only one supplier exists or equipment is imported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Civil BOQ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Certified by a Chartered Engineer / civil architect; civil work capped at 25% of eligible cost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Packhouse layout and specifications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1(a): must meet NCCD / MIDH cold-chain norms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Reefer van quotation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1(c): OEM letterhead, with make and model of chassis, container and refrigeration unit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Existing processing line + HACCP / ISO 22000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1(d): certificate from an IAF-accredited certification body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2D8651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74F35"/>
          <w:sz w:val="26"/>
          <w:szCs w:val="26"/>
        </w:rPr>
        <w:t xml:space="preserve">C. Quality sub-components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00"/>
        <w:gridCol w:w="4086"/>
        <w:gridCol w:w="800"/>
      </w:tblGrid>
      <w:tr>
        <w:trPr>
          <w:tblHeader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 / remarks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2(a) Certification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Certification body quotation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Annexure III fee format; separate application for each certification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2(c) FSMS for processing line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Line details, FSMS certificate, three quotations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3(a) Training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Course prospectus and schedule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Institution listed in Annexure VIII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5(a) Testing of export samples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Testing linkage sheet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Annexure IV; CA certificate with UDIN if filed offline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CA certificate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Annexure VI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Test reports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Commercial invoice and export documents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Bank statement showing payment to the lab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Declaration that samples were for export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NPOP sampling record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Organic only: 2% sampling per Annexure X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7(a) Upgrading a public laboratory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11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APEDA recognition + NABL ISO/IEC 17025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Plus product recognition, or proficiency-test qualification for CRM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12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Three quotations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7(b) In-house laboratory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13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Equipment list + three quotations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Equipment as indicated in Annexure II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9(a) Innovation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14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Specifications / design / prototype; proof of concept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MoUs for any collaborations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9(b) SPS / market-access issues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15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SPS proposal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Lab reports, rejection notices, pest data or advisories, expected outcomes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10(a) Traceability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16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BHARATI registration + 3-year export projections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2D8651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74F35"/>
          <w:sz w:val="26"/>
          <w:szCs w:val="26"/>
        </w:rPr>
        <w:t xml:space="preserve">D. Market development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00"/>
        <w:gridCol w:w="4086"/>
        <w:gridCol w:w="800"/>
      </w:tblGrid>
      <w:tr>
        <w:trPr>
          <w:tblHeader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 / remarks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15(a) Studies / consultancy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Consultant quotation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Firm with ≥5 years’ experience; title, scope, cost, validity, payment terms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Justification + non-repetition confirmation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15(b)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Advance proposal before IPA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Technical advisor details and SOP; validation report afterwards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15(c) Brand / IPR registration abroad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Product and brand details; target country with justification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Estimate of overseas fee; type of right sought (TM / IPR / GI)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15(d) Listing with overseas retail chains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Justification for the chosen chain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Agreement / MoU / email of intent showing the fee structure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9746"/>
            <w:gridSpan w:val="4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4F35"/>
                <w:sz w:val="19"/>
                <w:szCs w:val="19"/>
              </w:rPr>
              <w:t xml:space="preserve">15(e) GI promotion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Proof of APEDA-registered GI product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Brand-promotion plan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Markets, rationale, competitors, activities, projections, budget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2D8651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74F35"/>
          <w:sz w:val="26"/>
          <w:szCs w:val="26"/>
        </w:rPr>
        <w:t xml:space="preserve">E. At claim / reimbursement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00"/>
        <w:gridCol w:w="4086"/>
        <w:gridCol w:w="800"/>
      </w:tblGrid>
      <w:tr>
        <w:trPr>
          <w:tblHeader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 / remarks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CA certificate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Annexure VI; ICAI firm registration no. and membership no.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Bank statements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Vendor payments highlighted; cash only up to ₹10,000, with receipts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Indemnity bond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Annexure VII on ₹100 stamp paper, for capital assets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Chartered Engineer installation certificate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Infrastructure / equipment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Bill of Entry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Imported equipment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Photographs of APEDA logo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“Assisted by APEDA” painted on the asset; stickers not accepted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NPOP scope certificate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Organic processing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In-house lab evidence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Technician qualifications, lab photographs, payment entries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Certification evidence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Audit surveillance report (Annexure V), certification manual, inspection report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Training completion certificate + fee receipt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11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Final study / feasibility report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Market development studies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12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Export declaration + CA certificate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Testing claims under 5(a)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13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Special-category undertaking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Repeated at claim stage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14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Timing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Within IPA validity; IPA-exempt items within 3 months of completion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2D8651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74F35"/>
          <w:sz w:val="26"/>
          <w:szCs w:val="26"/>
        </w:rPr>
        <w:t xml:space="preserve">F. After payment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00"/>
        <w:gridCol w:w="4086"/>
        <w:gridCol w:w="800"/>
      </w:tblGrid>
      <w:tr>
        <w:trPr>
          <w:tblHeader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 / remarks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174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Bank guarantee – 25% of assistance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Infrastructure; 3 years or until performance is achieved; released against GST returns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Quarterly performance returns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Filed online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A6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3529"/>
                <w:sz w:val="19"/>
                <w:szCs w:val="19"/>
              </w:rPr>
              <w:t xml:space="preserve">Retention of assets</w:t>
            </w:r>
          </w:p>
        </w:tc>
        <w:tc>
          <w:tcPr>
            <w:tcW w:type="dxa" w:w="4086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3529"/>
                <w:sz w:val="18"/>
                <w:szCs w:val="18"/>
              </w:rPr>
              <w:t xml:space="preserve">Assisted assets kept for 5 years</w:t>
            </w:r>
          </w:p>
        </w:tc>
        <w:tc>
          <w:tcPr>
            <w:tcW w:type="dxa" w:w="8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8651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i/>
          <w:iCs/>
          <w:color w:val="5C6A60"/>
          <w:sz w:val="17"/>
          <w:szCs w:val="17"/>
        </w:rPr>
        <w:t xml:space="preserve">Prepared from the BKNY Financial Assistance Guidelines. Verify against the latest APEDA notification before filing.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A60"/>
        <w:sz w:val="16"/>
        <w:szCs w:val="16"/>
      </w:rPr>
      <w:t xml:space="preserve">Bharat Krishi Niryat Yojana  |  Documents Checklist  |  Page </w:t>
    </w:r>
    <w:r>
      <w:rPr>
        <w:rFonts w:ascii="Calibri" w:cs="Calibri" w:eastAsia="Calibri" w:hAnsi="Calibri"/>
        <w:color w:val="5C6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2026-10-14T14:33:25.379Z</dcterms:created>
  <dcterms:modified xsi:type="dcterms:W3CDTF">2026-10-14T14:33:25.379Z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