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Look w:val="04A0" w:firstRow="1" w:lastRow="0" w:firstColumn="1" w:lastColumn="0" w:noHBand="0" w:noVBand="1"/>
      </w:tblPr>
      <w:tblGrid>
        <w:gridCol w:w="1260"/>
        <w:gridCol w:w="6127"/>
        <w:gridCol w:w="1851"/>
      </w:tblGrid>
      <w:tr w:rsidR="00B92E16" w14:paraId="42A7CBB5" w14:textId="77777777" w:rsidTr="00944081">
        <w:trPr>
          <w:trHeight w:val="575"/>
        </w:trPr>
        <w:tc>
          <w:tcPr>
            <w:tcW w:w="1274" w:type="dxa"/>
          </w:tcPr>
          <w:p w14:paraId="5D2E8B46" w14:textId="77777777" w:rsidR="00B92E16" w:rsidRPr="001107CF" w:rsidRDefault="00B92E16" w:rsidP="00240983">
            <w:pPr>
              <w:rPr>
                <w:b/>
                <w:bCs/>
                <w:cs/>
                <w:lang w:bidi="hi"/>
              </w:rPr>
            </w:pPr>
            <w:r>
              <w:rPr>
                <w:b/>
                <w:bCs/>
                <w:noProof/>
              </w:rPr>
              <w:drawing>
                <wp:anchor distT="0" distB="0" distL="114300" distR="114300" simplePos="0" relativeHeight="251660288" behindDoc="0" locked="0" layoutInCell="1" allowOverlap="1" wp14:anchorId="13E04986" wp14:editId="497D9B12">
                  <wp:simplePos x="0" y="0"/>
                  <wp:positionH relativeFrom="column">
                    <wp:posOffset>-38735</wp:posOffset>
                  </wp:positionH>
                  <wp:positionV relativeFrom="paragraph">
                    <wp:posOffset>24765</wp:posOffset>
                  </wp:positionV>
                  <wp:extent cx="733425" cy="107251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Emble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425" cy="1072515"/>
                          </a:xfrm>
                          <a:prstGeom prst="rect">
                            <a:avLst/>
                          </a:prstGeom>
                        </pic:spPr>
                      </pic:pic>
                    </a:graphicData>
                  </a:graphic>
                  <wp14:sizeRelH relativeFrom="page">
                    <wp14:pctWidth>0</wp14:pctWidth>
                  </wp14:sizeRelH>
                  <wp14:sizeRelV relativeFrom="page">
                    <wp14:pctHeight>0</wp14:pctHeight>
                  </wp14:sizeRelV>
                </wp:anchor>
              </w:drawing>
            </w:r>
          </w:p>
        </w:tc>
        <w:tc>
          <w:tcPr>
            <w:tcW w:w="6177" w:type="dxa"/>
          </w:tcPr>
          <w:p w14:paraId="5DA1D90A" w14:textId="77777777" w:rsidR="00B92E16" w:rsidRPr="00E83165" w:rsidRDefault="00B92E16" w:rsidP="00240983">
            <w:pPr>
              <w:ind w:left="-108" w:right="-108"/>
              <w:jc w:val="center"/>
              <w:rPr>
                <w:rFonts w:ascii="Book Antiqua" w:hAnsi="Book Antiqua" w:cs="Book Antiqua"/>
                <w:b/>
                <w:bCs/>
                <w:cs/>
                <w:lang w:bidi="hi"/>
              </w:rPr>
            </w:pPr>
            <w:r w:rsidRPr="00E83165">
              <w:rPr>
                <w:rFonts w:ascii="Book Antiqua" w:hAnsi="Book Antiqua" w:cs="Book Antiqua"/>
                <w:b/>
                <w:bCs/>
                <w:cs/>
                <w:lang w:bidi="hi"/>
              </w:rPr>
              <w:t>Government of India</w:t>
            </w:r>
          </w:p>
          <w:p w14:paraId="251041F5" w14:textId="77777777" w:rsidR="00B92E16" w:rsidRPr="00E83165" w:rsidRDefault="00B92E16" w:rsidP="00240983">
            <w:pPr>
              <w:ind w:left="-108" w:right="-108"/>
              <w:jc w:val="center"/>
              <w:rPr>
                <w:rFonts w:ascii="Book Antiqua" w:hAnsi="Book Antiqua" w:cs="Book Antiqua"/>
                <w:b/>
                <w:bCs/>
                <w:cs/>
                <w:lang w:bidi="hi"/>
              </w:rPr>
            </w:pPr>
            <w:r w:rsidRPr="00E83165">
              <w:rPr>
                <w:rFonts w:ascii="Book Antiqua" w:hAnsi="Book Antiqua" w:cs="Book Antiqua"/>
                <w:b/>
                <w:bCs/>
                <w:cs/>
                <w:lang w:bidi="hi"/>
              </w:rPr>
              <w:t>Department of Commerce</w:t>
            </w:r>
          </w:p>
          <w:p w14:paraId="7BBF0800" w14:textId="77777777" w:rsidR="00B92E16" w:rsidRPr="00E83165" w:rsidRDefault="00B92E16" w:rsidP="00240983">
            <w:pPr>
              <w:ind w:left="-108" w:right="-108"/>
              <w:jc w:val="center"/>
              <w:rPr>
                <w:rFonts w:ascii="Book Antiqua" w:hAnsi="Book Antiqua" w:cs="Book Antiqua"/>
                <w:b/>
                <w:bCs/>
                <w:cs/>
                <w:lang w:bidi="hi"/>
              </w:rPr>
            </w:pPr>
            <w:r w:rsidRPr="00E83165">
              <w:rPr>
                <w:rFonts w:ascii="Book Antiqua" w:hAnsi="Book Antiqua" w:cs="Book Antiqua"/>
                <w:b/>
                <w:bCs/>
                <w:cs/>
                <w:lang w:bidi="hi"/>
              </w:rPr>
              <w:t>Ministry of Commerce &amp; Industry,</w:t>
            </w:r>
          </w:p>
          <w:p w14:paraId="6AA2EA73" w14:textId="77777777" w:rsidR="00B92E16" w:rsidRPr="000B3015" w:rsidRDefault="00B92E16" w:rsidP="00240983">
            <w:pPr>
              <w:ind w:left="-108" w:right="-108"/>
              <w:jc w:val="center"/>
              <w:rPr>
                <w:rFonts w:ascii="Book Antiqua" w:hAnsi="Book Antiqua" w:cs="Book Antiqua"/>
                <w:b/>
                <w:bCs/>
                <w:sz w:val="24"/>
                <w:cs/>
                <w:lang w:bidi="hi"/>
              </w:rPr>
            </w:pPr>
            <w:r w:rsidRPr="000B3015">
              <w:rPr>
                <w:rFonts w:ascii="Book Antiqua" w:hAnsi="Book Antiqua" w:cs="Book Antiqua"/>
                <w:b/>
                <w:bCs/>
                <w:sz w:val="24"/>
                <w:cs/>
                <w:lang w:bidi="hi"/>
              </w:rPr>
              <w:t>Office of the Development Commissioner</w:t>
            </w:r>
          </w:p>
          <w:p w14:paraId="070920C3" w14:textId="77777777" w:rsidR="00B92E16" w:rsidRPr="00E83165" w:rsidRDefault="00B92E16" w:rsidP="00240983">
            <w:pPr>
              <w:ind w:left="-108" w:right="-108"/>
              <w:jc w:val="center"/>
              <w:rPr>
                <w:rFonts w:ascii="Book Antiqua" w:hAnsi="Book Antiqua" w:cs="Book Antiqua"/>
                <w:b/>
                <w:bCs/>
                <w:caps/>
                <w:sz w:val="26"/>
                <w:szCs w:val="26"/>
                <w:cs/>
                <w:lang w:bidi="hi"/>
              </w:rPr>
            </w:pPr>
            <w:r w:rsidRPr="00E83165">
              <w:rPr>
                <w:rFonts w:ascii="Book Antiqua" w:hAnsi="Book Antiqua" w:cs="Book Antiqua"/>
                <w:b/>
                <w:bCs/>
                <w:caps/>
                <w:sz w:val="26"/>
                <w:szCs w:val="26"/>
                <w:cs/>
                <w:lang w:bidi="hi"/>
              </w:rPr>
              <w:t>Moradabad Special Economic Zone</w:t>
            </w:r>
          </w:p>
          <w:p w14:paraId="043A8A4C" w14:textId="77777777" w:rsidR="00B92E16" w:rsidRPr="00E83165" w:rsidRDefault="00B92E16" w:rsidP="00240983">
            <w:pPr>
              <w:pStyle w:val="Header"/>
              <w:ind w:left="-108" w:right="-108"/>
              <w:jc w:val="center"/>
              <w:rPr>
                <w:rFonts w:ascii="Book Antiqua" w:hAnsi="Book Antiqua" w:cs="Book Antiqua"/>
                <w:b/>
                <w:bCs/>
                <w:color w:val="4F81BD" w:themeColor="accent1"/>
                <w:cs/>
                <w:lang w:bidi="hi"/>
              </w:rPr>
            </w:pPr>
            <w:r w:rsidRPr="00E83165">
              <w:rPr>
                <w:rFonts w:ascii="Book Antiqua" w:hAnsi="Book Antiqua" w:cs="Book Antiqua"/>
                <w:b/>
                <w:bCs/>
                <w:cs/>
                <w:lang w:bidi="hi"/>
              </w:rPr>
              <w:t>6</w:t>
            </w:r>
            <w:r w:rsidRPr="00E83165">
              <w:rPr>
                <w:rFonts w:ascii="Book Antiqua" w:hAnsi="Book Antiqua" w:cs="Book Antiqua"/>
                <w:b/>
                <w:bCs/>
                <w:vertAlign w:val="superscript"/>
                <w:cs/>
                <w:lang w:bidi="hi"/>
              </w:rPr>
              <w:t>th</w:t>
            </w:r>
            <w:r w:rsidRPr="00E83165">
              <w:rPr>
                <w:rFonts w:ascii="Book Antiqua" w:hAnsi="Book Antiqua" w:cs="Book Antiqua"/>
                <w:b/>
                <w:bCs/>
                <w:cs/>
                <w:lang w:bidi="hi"/>
              </w:rPr>
              <w:t xml:space="preserve"> Km., Pakbara–Dingarpur Road, Moradabad-</w:t>
            </w:r>
            <w:r>
              <w:rPr>
                <w:rFonts w:ascii="Book Antiqua" w:hAnsi="Book Antiqua"/>
                <w:b/>
              </w:rPr>
              <w:t xml:space="preserve"> </w:t>
            </w:r>
            <w:r w:rsidRPr="00E83165">
              <w:rPr>
                <w:rFonts w:ascii="Book Antiqua" w:hAnsi="Book Antiqua" w:cs="Book Antiqua"/>
                <w:b/>
                <w:bCs/>
                <w:cs/>
                <w:lang w:bidi="hi"/>
              </w:rPr>
              <w:t>244102, U</w:t>
            </w:r>
            <w:r>
              <w:rPr>
                <w:rFonts w:ascii="Book Antiqua" w:hAnsi="Book Antiqua"/>
                <w:b/>
              </w:rPr>
              <w:t>.</w:t>
            </w:r>
            <w:r w:rsidRPr="00E83165">
              <w:rPr>
                <w:rFonts w:ascii="Book Antiqua" w:hAnsi="Book Antiqua" w:cs="Book Antiqua"/>
                <w:b/>
                <w:bCs/>
                <w:cs/>
                <w:lang w:bidi="hi"/>
              </w:rPr>
              <w:t xml:space="preserve"> P</w:t>
            </w:r>
            <w:r>
              <w:rPr>
                <w:rFonts w:ascii="Book Antiqua" w:hAnsi="Book Antiqua"/>
                <w:b/>
              </w:rPr>
              <w:t>.</w:t>
            </w:r>
          </w:p>
          <w:p w14:paraId="54D83497" w14:textId="77777777" w:rsidR="00B92E16" w:rsidRPr="001E36FD" w:rsidRDefault="00B92E16" w:rsidP="00240983">
            <w:pPr>
              <w:pStyle w:val="Header"/>
              <w:ind w:left="-108" w:right="-108"/>
              <w:jc w:val="center"/>
              <w:rPr>
                <w:rFonts w:ascii="Book Antiqua" w:hAnsi="Book Antiqua" w:cs="Book Antiqua"/>
                <w:b/>
                <w:bCs/>
                <w:sz w:val="24"/>
                <w:szCs w:val="24"/>
                <w:cs/>
                <w:lang w:bidi="hi"/>
              </w:rPr>
            </w:pPr>
            <w:r w:rsidRPr="00E83165">
              <w:rPr>
                <w:rFonts w:ascii="Book Antiqua" w:hAnsi="Book Antiqua" w:cs="Book Antiqua"/>
                <w:b/>
                <w:bCs/>
                <w:cs/>
                <w:lang w:bidi="hi"/>
              </w:rPr>
              <w:t>Phone: 0591-235 0001, Email: adc@moradabadsez.gov.in</w:t>
            </w:r>
          </w:p>
        </w:tc>
        <w:tc>
          <w:tcPr>
            <w:tcW w:w="1874" w:type="dxa"/>
          </w:tcPr>
          <w:p w14:paraId="05665A6D" w14:textId="77777777" w:rsidR="00B92E16" w:rsidRDefault="00B92E16" w:rsidP="00240983">
            <w:pPr>
              <w:rPr>
                <w:b/>
                <w:bCs/>
                <w:cs/>
                <w:lang w:bidi="hi"/>
              </w:rPr>
            </w:pPr>
            <w:r>
              <w:rPr>
                <w:b/>
                <w:bCs/>
                <w:noProof/>
              </w:rPr>
              <w:drawing>
                <wp:anchor distT="0" distB="0" distL="114300" distR="114300" simplePos="0" relativeHeight="251659264" behindDoc="0" locked="0" layoutInCell="1" allowOverlap="1" wp14:anchorId="7AE37220" wp14:editId="63188CBD">
                  <wp:simplePos x="0" y="0"/>
                  <wp:positionH relativeFrom="margin">
                    <wp:posOffset>-22225</wp:posOffset>
                  </wp:positionH>
                  <wp:positionV relativeFrom="margin">
                    <wp:posOffset>47625</wp:posOffset>
                  </wp:positionV>
                  <wp:extent cx="1089329" cy="1041621"/>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adabad SEZ logo.png"/>
                          <pic:cNvPicPr/>
                        </pic:nvPicPr>
                        <pic:blipFill>
                          <a:blip r:embed="rId9">
                            <a:extLst>
                              <a:ext uri="{28A0092B-C50C-407E-A947-70E740481C1C}">
                                <a14:useLocalDpi xmlns:a14="http://schemas.microsoft.com/office/drawing/2010/main" val="0"/>
                              </a:ext>
                            </a:extLst>
                          </a:blip>
                          <a:stretch>
                            <a:fillRect/>
                          </a:stretch>
                        </pic:blipFill>
                        <pic:spPr>
                          <a:xfrm>
                            <a:off x="0" y="0"/>
                            <a:ext cx="1089329" cy="1041621"/>
                          </a:xfrm>
                          <a:prstGeom prst="rect">
                            <a:avLst/>
                          </a:prstGeom>
                        </pic:spPr>
                      </pic:pic>
                    </a:graphicData>
                  </a:graphic>
                  <wp14:sizeRelH relativeFrom="margin">
                    <wp14:pctWidth>0</wp14:pctWidth>
                  </wp14:sizeRelH>
                  <wp14:sizeRelV relativeFrom="margin">
                    <wp14:pctHeight>0</wp14:pctHeight>
                  </wp14:sizeRelV>
                </wp:anchor>
              </w:drawing>
            </w:r>
          </w:p>
        </w:tc>
      </w:tr>
    </w:tbl>
    <w:p w14:paraId="3A3EBCDD" w14:textId="0DD5EB2C" w:rsidR="00B92E16" w:rsidRPr="00690EA8" w:rsidRDefault="00B92E16" w:rsidP="00B92E16">
      <w:pPr>
        <w:pStyle w:val="Header"/>
        <w:tabs>
          <w:tab w:val="center" w:pos="9180"/>
          <w:tab w:val="right" w:pos="9639"/>
        </w:tabs>
        <w:jc w:val="right"/>
        <w:rPr>
          <w:rFonts w:ascii="Book Antiqua" w:eastAsia="Batang" w:hAnsi="Book Antiqua" w:cstheme="minorBidi"/>
          <w:sz w:val="22"/>
          <w:szCs w:val="22"/>
        </w:rPr>
      </w:pPr>
      <w:r w:rsidRPr="001C140F">
        <w:rPr>
          <w:rFonts w:ascii="Arial Unicode MS" w:eastAsia="Arial Unicode MS" w:hAnsi="Arial Unicode MS" w:cs="Arial Unicode MS"/>
          <w:sz w:val="22"/>
          <w:szCs w:val="22"/>
          <w:cs/>
          <w:lang w:bidi="hi-IN"/>
        </w:rPr>
        <w:t>दिनांक</w:t>
      </w:r>
      <w:r w:rsidR="001C140F">
        <w:rPr>
          <w:rFonts w:ascii="Arial Unicode MS" w:eastAsia="Arial Unicode MS" w:hAnsi="Arial Unicode MS" w:cs="Arial Unicode MS"/>
          <w:sz w:val="22"/>
          <w:szCs w:val="22"/>
          <w:lang w:bidi="hi-IN"/>
        </w:rPr>
        <w:t>:        .</w:t>
      </w:r>
      <w:r>
        <w:rPr>
          <w:rFonts w:ascii="Book Antiqua" w:eastAsia="Batang" w:hAnsi="Book Antiqua" w:cstheme="minorBidi"/>
          <w:sz w:val="22"/>
          <w:szCs w:val="22"/>
          <w:lang w:bidi="hi-IN"/>
        </w:rPr>
        <w:t>0</w:t>
      </w:r>
      <w:r w:rsidR="001C140F">
        <w:rPr>
          <w:rFonts w:ascii="Book Antiqua" w:eastAsia="Batang" w:hAnsi="Book Antiqua" w:cstheme="minorBidi"/>
          <w:sz w:val="22"/>
          <w:szCs w:val="22"/>
          <w:lang w:bidi="hi-IN"/>
        </w:rPr>
        <w:t>8.</w:t>
      </w:r>
      <w:r w:rsidRPr="00690EA8">
        <w:rPr>
          <w:rFonts w:ascii="Book Antiqua" w:eastAsia="Batang" w:hAnsi="Book Antiqua" w:cstheme="minorBidi"/>
          <w:sz w:val="22"/>
          <w:szCs w:val="22"/>
          <w:lang w:bidi="hi-IN"/>
        </w:rPr>
        <w:t>202</w:t>
      </w:r>
      <w:r>
        <w:rPr>
          <w:rFonts w:ascii="Book Antiqua" w:eastAsia="Batang" w:hAnsi="Book Antiqua" w:cstheme="minorBidi"/>
          <w:sz w:val="22"/>
          <w:szCs w:val="22"/>
          <w:lang w:bidi="hi-IN"/>
        </w:rPr>
        <w:t>4</w:t>
      </w:r>
    </w:p>
    <w:p w14:paraId="4BAFFB56" w14:textId="3A028373" w:rsidR="00415389" w:rsidRPr="005C2CE1" w:rsidRDefault="00415389" w:rsidP="00415389">
      <w:pPr>
        <w:pStyle w:val="Heading2"/>
        <w:spacing w:line="276" w:lineRule="auto"/>
        <w:rPr>
          <w:rFonts w:ascii="Book Antiqua" w:hAnsi="Book Antiqua" w:cs="Arial Unicode MS"/>
          <w:b/>
          <w:sz w:val="22"/>
          <w:szCs w:val="22"/>
          <w:lang w:val="en-IN" w:bidi="hi-IN"/>
        </w:rPr>
      </w:pPr>
      <w:r w:rsidRPr="005C2CE1">
        <w:rPr>
          <w:rFonts w:ascii="Book Antiqua" w:hAnsi="Book Antiqua"/>
          <w:b/>
          <w:sz w:val="22"/>
          <w:szCs w:val="22"/>
        </w:rPr>
        <w:t>To</w:t>
      </w:r>
      <w:r w:rsidR="006C2DCF" w:rsidRPr="005C2CE1">
        <w:rPr>
          <w:rFonts w:ascii="Book Antiqua" w:hAnsi="Book Antiqua"/>
          <w:b/>
          <w:sz w:val="22"/>
          <w:szCs w:val="22"/>
        </w:rPr>
        <w:t>,</w:t>
      </w:r>
    </w:p>
    <w:p w14:paraId="3949DD65" w14:textId="44BFA5BC" w:rsidR="00415389" w:rsidRPr="00A07C78" w:rsidRDefault="00656D61" w:rsidP="00A07C78">
      <w:pPr>
        <w:pStyle w:val="Heading2"/>
        <w:spacing w:line="276" w:lineRule="auto"/>
        <w:ind w:firstLine="426"/>
        <w:rPr>
          <w:rFonts w:ascii="Book Antiqua" w:hAnsi="Book Antiqua"/>
          <w:bCs/>
          <w:sz w:val="22"/>
          <w:szCs w:val="22"/>
        </w:rPr>
      </w:pPr>
      <w:r w:rsidRPr="00A07C78">
        <w:rPr>
          <w:rFonts w:ascii="Book Antiqua" w:hAnsi="Book Antiqua"/>
          <w:bCs/>
          <w:sz w:val="22"/>
          <w:szCs w:val="22"/>
        </w:rPr>
        <w:t>Shri Deepak Jhalani</w:t>
      </w:r>
      <w:r w:rsidR="00055409" w:rsidRPr="00A07C78">
        <w:rPr>
          <w:rFonts w:ascii="Book Antiqua" w:hAnsi="Book Antiqua"/>
          <w:bCs/>
          <w:sz w:val="22"/>
          <w:szCs w:val="22"/>
        </w:rPr>
        <w:t>,</w:t>
      </w:r>
    </w:p>
    <w:p w14:paraId="0745E528" w14:textId="59FC808E" w:rsidR="00656D61" w:rsidRPr="00A07C78" w:rsidRDefault="00656D61" w:rsidP="00A07C78">
      <w:pPr>
        <w:pStyle w:val="Heading2"/>
        <w:spacing w:line="276" w:lineRule="auto"/>
        <w:ind w:firstLine="426"/>
        <w:rPr>
          <w:rFonts w:ascii="Book Antiqua" w:hAnsi="Book Antiqua"/>
          <w:bCs/>
          <w:sz w:val="22"/>
          <w:szCs w:val="22"/>
        </w:rPr>
      </w:pPr>
      <w:r w:rsidRPr="00A07C78">
        <w:rPr>
          <w:rFonts w:ascii="Book Antiqua" w:hAnsi="Book Antiqua"/>
          <w:bCs/>
          <w:sz w:val="22"/>
          <w:szCs w:val="22"/>
        </w:rPr>
        <w:t>Dy. DGFT,</w:t>
      </w:r>
    </w:p>
    <w:p w14:paraId="61BF4CA6" w14:textId="2D5854AC" w:rsidR="00055409" w:rsidRPr="00A07C78" w:rsidRDefault="00656D61" w:rsidP="00A07C78">
      <w:pPr>
        <w:pStyle w:val="Heading2"/>
        <w:spacing w:line="276" w:lineRule="auto"/>
        <w:ind w:firstLine="426"/>
        <w:rPr>
          <w:rFonts w:ascii="Book Antiqua" w:hAnsi="Book Antiqua"/>
          <w:bCs/>
          <w:sz w:val="22"/>
          <w:szCs w:val="22"/>
        </w:rPr>
      </w:pPr>
      <w:r w:rsidRPr="00A07C78">
        <w:rPr>
          <w:rFonts w:ascii="Book Antiqua" w:hAnsi="Book Antiqua"/>
          <w:bCs/>
          <w:sz w:val="22"/>
          <w:szCs w:val="22"/>
        </w:rPr>
        <w:t>Room No. US-20,</w:t>
      </w:r>
    </w:p>
    <w:p w14:paraId="03A66F87" w14:textId="77777777" w:rsidR="00A07C78" w:rsidRDefault="00A07C78" w:rsidP="00A07C78">
      <w:pPr>
        <w:pStyle w:val="Heading2"/>
        <w:spacing w:line="276" w:lineRule="auto"/>
        <w:ind w:firstLine="426"/>
        <w:rPr>
          <w:rFonts w:ascii="Book Antiqua" w:hAnsi="Book Antiqua"/>
          <w:bCs/>
          <w:sz w:val="22"/>
          <w:szCs w:val="22"/>
        </w:rPr>
      </w:pPr>
      <w:r>
        <w:rPr>
          <w:rFonts w:ascii="Book Antiqua" w:hAnsi="Book Antiqua"/>
          <w:bCs/>
          <w:sz w:val="22"/>
          <w:szCs w:val="22"/>
        </w:rPr>
        <w:t>Vanijya Bhawan, 'A' Wing,</w:t>
      </w:r>
    </w:p>
    <w:p w14:paraId="02EC57CC" w14:textId="1BB71144" w:rsidR="00055409" w:rsidRPr="00A07C78" w:rsidRDefault="00656D61" w:rsidP="00A07C78">
      <w:pPr>
        <w:pStyle w:val="Heading2"/>
        <w:spacing w:line="276" w:lineRule="auto"/>
        <w:ind w:firstLine="426"/>
        <w:rPr>
          <w:rFonts w:ascii="Book Antiqua" w:hAnsi="Book Antiqua"/>
          <w:bCs/>
          <w:sz w:val="22"/>
          <w:szCs w:val="22"/>
        </w:rPr>
      </w:pPr>
      <w:r w:rsidRPr="00A07C78">
        <w:rPr>
          <w:rFonts w:ascii="Book Antiqua" w:hAnsi="Book Antiqua"/>
          <w:bCs/>
          <w:sz w:val="22"/>
          <w:szCs w:val="22"/>
        </w:rPr>
        <w:t>16 Akbar Road, New Delhi - 110011</w:t>
      </w:r>
    </w:p>
    <w:p w14:paraId="6D5F34D2" w14:textId="677E8353" w:rsidR="00656D61" w:rsidRPr="00A07C78" w:rsidRDefault="00656D61" w:rsidP="00A07C78">
      <w:pPr>
        <w:pStyle w:val="Heading2"/>
        <w:spacing w:line="276" w:lineRule="auto"/>
        <w:ind w:firstLine="426"/>
        <w:rPr>
          <w:rFonts w:ascii="Book Antiqua" w:hAnsi="Book Antiqua"/>
          <w:bCs/>
          <w:sz w:val="22"/>
          <w:szCs w:val="22"/>
        </w:rPr>
      </w:pPr>
      <w:r w:rsidRPr="00A07C78">
        <w:rPr>
          <w:rFonts w:ascii="Book Antiqua" w:hAnsi="Book Antiqua"/>
          <w:bCs/>
          <w:sz w:val="22"/>
          <w:szCs w:val="22"/>
        </w:rPr>
        <w:t xml:space="preserve">Email: </w:t>
      </w:r>
      <w:r w:rsidR="00A07C78">
        <w:rPr>
          <w:rFonts w:ascii="Book Antiqua" w:hAnsi="Book Antiqua"/>
          <w:bCs/>
          <w:sz w:val="22"/>
          <w:szCs w:val="22"/>
        </w:rPr>
        <w:t>d</w:t>
      </w:r>
      <w:r w:rsidRPr="00A07C78">
        <w:rPr>
          <w:rFonts w:ascii="Book Antiqua" w:hAnsi="Book Antiqua"/>
          <w:bCs/>
          <w:sz w:val="22"/>
          <w:szCs w:val="22"/>
        </w:rPr>
        <w:t>eepak.</w:t>
      </w:r>
      <w:r w:rsidRPr="00A07C78">
        <w:rPr>
          <w:rFonts w:ascii="Book Antiqua" w:hAnsi="Book Antiqua"/>
          <w:bCs/>
          <w:sz w:val="22"/>
          <w:szCs w:val="22"/>
        </w:rPr>
        <w:t>jhalani</w:t>
      </w:r>
      <w:r w:rsidRPr="00A07C78">
        <w:rPr>
          <w:rFonts w:ascii="Book Antiqua" w:hAnsi="Book Antiqua"/>
          <w:bCs/>
          <w:sz w:val="22"/>
          <w:szCs w:val="22"/>
        </w:rPr>
        <w:t>@</w:t>
      </w:r>
      <w:r w:rsidRPr="00A07C78">
        <w:rPr>
          <w:rFonts w:ascii="Book Antiqua" w:hAnsi="Book Antiqua"/>
          <w:bCs/>
          <w:sz w:val="22"/>
          <w:szCs w:val="22"/>
        </w:rPr>
        <w:t>gov</w:t>
      </w:r>
      <w:r w:rsidRPr="00A07C78">
        <w:rPr>
          <w:rFonts w:ascii="Book Antiqua" w:hAnsi="Book Antiqua"/>
          <w:bCs/>
          <w:sz w:val="22"/>
          <w:szCs w:val="22"/>
        </w:rPr>
        <w:t>.</w:t>
      </w:r>
      <w:r w:rsidRPr="00A07C78">
        <w:rPr>
          <w:rFonts w:ascii="Book Antiqua" w:hAnsi="Book Antiqua"/>
          <w:bCs/>
          <w:sz w:val="22"/>
          <w:szCs w:val="22"/>
        </w:rPr>
        <w:t>in</w:t>
      </w:r>
    </w:p>
    <w:p w14:paraId="0D25CDCA" w14:textId="0638CDCE" w:rsidR="00D00049" w:rsidRPr="00B92E16" w:rsidRDefault="005C2CE1" w:rsidP="001C140F">
      <w:pPr>
        <w:shd w:val="clear" w:color="auto" w:fill="FFFFFF"/>
        <w:spacing w:before="240" w:after="0" w:line="240" w:lineRule="auto"/>
        <w:ind w:left="851" w:hanging="851"/>
        <w:jc w:val="both"/>
        <w:rPr>
          <w:rFonts w:ascii="Book Antiqua" w:eastAsia="Times New Roman" w:hAnsi="Book Antiqua" w:cs="Arial"/>
          <w:u w:val="single"/>
          <w:lang w:eastAsia="en-IN" w:bidi="hi-IN"/>
        </w:rPr>
      </w:pPr>
      <w:r w:rsidRPr="00B92E16">
        <w:rPr>
          <w:rFonts w:ascii="Book Antiqua" w:eastAsia="Times New Roman" w:hAnsi="Book Antiqua" w:cs="Arial Unicode MS"/>
          <w:b/>
          <w:bCs/>
          <w:u w:val="single"/>
          <w:lang w:eastAsia="en-IN" w:bidi="hi-IN"/>
        </w:rPr>
        <w:t xml:space="preserve">Subject: </w:t>
      </w:r>
      <w:r w:rsidR="00E8350E">
        <w:rPr>
          <w:rFonts w:ascii="Book Antiqua" w:hAnsi="Book Antiqua"/>
          <w:b/>
          <w:bCs/>
          <w:u w:val="single"/>
          <w:lang w:val="en-US"/>
        </w:rPr>
        <w:t>Clarification regarding processing of MEIS claim of unit</w:t>
      </w:r>
      <w:r w:rsidR="00733149">
        <w:rPr>
          <w:rFonts w:ascii="Book Antiqua" w:hAnsi="Book Antiqua"/>
          <w:b/>
          <w:bCs/>
          <w:u w:val="single"/>
          <w:lang w:val="en-US"/>
        </w:rPr>
        <w:t>(</w:t>
      </w:r>
      <w:r w:rsidR="00E8350E">
        <w:rPr>
          <w:rFonts w:ascii="Book Antiqua" w:hAnsi="Book Antiqua"/>
          <w:b/>
          <w:bCs/>
          <w:u w:val="single"/>
          <w:lang w:val="en-US"/>
        </w:rPr>
        <w:t>s</w:t>
      </w:r>
      <w:r w:rsidR="00733149">
        <w:rPr>
          <w:rFonts w:ascii="Book Antiqua" w:hAnsi="Book Antiqua"/>
          <w:b/>
          <w:bCs/>
          <w:u w:val="single"/>
          <w:lang w:val="en-US"/>
        </w:rPr>
        <w:t>)</w:t>
      </w:r>
      <w:r w:rsidR="00E8350E">
        <w:rPr>
          <w:rFonts w:ascii="Book Antiqua" w:hAnsi="Book Antiqua"/>
          <w:b/>
          <w:bCs/>
          <w:u w:val="single"/>
          <w:lang w:val="en-US"/>
        </w:rPr>
        <w:t xml:space="preserve"> in Moradabad SEZ</w:t>
      </w:r>
      <w:r w:rsidR="00B92E16" w:rsidRPr="00B92E16">
        <w:rPr>
          <w:rFonts w:ascii="Book Antiqua" w:hAnsi="Book Antiqua"/>
          <w:b/>
          <w:bCs/>
          <w:u w:val="single"/>
          <w:lang w:val="en-US"/>
        </w:rPr>
        <w:t xml:space="preserve"> – reg.</w:t>
      </w:r>
    </w:p>
    <w:p w14:paraId="0ACB9DA3" w14:textId="77777777" w:rsidR="00D00049" w:rsidRPr="005C2CE1" w:rsidRDefault="00D00049" w:rsidP="00944081">
      <w:pPr>
        <w:shd w:val="clear" w:color="auto" w:fill="FFFFFF"/>
        <w:spacing w:before="240" w:line="240" w:lineRule="auto"/>
        <w:jc w:val="both"/>
        <w:rPr>
          <w:rFonts w:ascii="Book Antiqua" w:eastAsia="Times New Roman" w:hAnsi="Book Antiqua" w:cs="Arial"/>
          <w:lang w:eastAsia="en-IN" w:bidi="hi-IN"/>
        </w:rPr>
      </w:pPr>
      <w:r w:rsidRPr="005C2CE1">
        <w:rPr>
          <w:rFonts w:ascii="Book Antiqua" w:eastAsia="Times New Roman" w:hAnsi="Book Antiqua" w:cs="Arial"/>
          <w:lang w:eastAsia="en-IN" w:bidi="hi-IN"/>
        </w:rPr>
        <w:t>Sir,</w:t>
      </w:r>
      <w:bookmarkStart w:id="0" w:name="_GoBack"/>
      <w:bookmarkEnd w:id="0"/>
    </w:p>
    <w:p w14:paraId="6BA6ABE6" w14:textId="2E049AA6" w:rsidR="005C2CE1" w:rsidRDefault="00B92E16" w:rsidP="001C140F">
      <w:pPr>
        <w:shd w:val="clear" w:color="auto" w:fill="FFFFFF"/>
        <w:ind w:firstLine="720"/>
        <w:jc w:val="both"/>
        <w:rPr>
          <w:rFonts w:ascii="Book Antiqua" w:hAnsi="Book Antiqua"/>
          <w:lang w:val="en-US"/>
        </w:rPr>
      </w:pPr>
      <w:r>
        <w:rPr>
          <w:rFonts w:ascii="Book Antiqua" w:hAnsi="Book Antiqua"/>
        </w:rPr>
        <w:t xml:space="preserve">Please refer to </w:t>
      </w:r>
      <w:r w:rsidR="00E8350E">
        <w:rPr>
          <w:rFonts w:ascii="Book Antiqua" w:hAnsi="Book Antiqua"/>
        </w:rPr>
        <w:t>the subject cited above vide which undersigned would like to seek clarification in case of two pending cases of MEIS claim by units in Moradabad SEZ</w:t>
      </w:r>
      <w:r w:rsidR="002110D3">
        <w:rPr>
          <w:rFonts w:ascii="Book Antiqua" w:hAnsi="Book Antiqua"/>
          <w:lang w:val="en-US"/>
        </w:rPr>
        <w:t>.</w:t>
      </w:r>
    </w:p>
    <w:p w14:paraId="2D088255" w14:textId="256B0A0E" w:rsidR="001C140F" w:rsidRDefault="001C140F" w:rsidP="00E8350E">
      <w:pPr>
        <w:shd w:val="clear" w:color="auto" w:fill="FFFFFF"/>
        <w:spacing w:after="0"/>
        <w:jc w:val="both"/>
        <w:rPr>
          <w:rFonts w:ascii="Book Antiqua" w:hAnsi="Book Antiqua" w:cs="Calibri"/>
          <w:lang w:val="en-US"/>
        </w:rPr>
      </w:pPr>
      <w:r>
        <w:rPr>
          <w:rFonts w:ascii="Book Antiqua" w:hAnsi="Book Antiqua"/>
          <w:lang w:val="en-US"/>
        </w:rPr>
        <w:t xml:space="preserve">2. </w:t>
      </w:r>
      <w:r w:rsidR="00E8350E">
        <w:rPr>
          <w:rFonts w:ascii="Book Antiqua" w:hAnsi="Book Antiqua" w:cs="Calibri"/>
          <w:lang w:val="en-US"/>
        </w:rPr>
        <w:t>The details of cases are as under:</w:t>
      </w:r>
    </w:p>
    <w:tbl>
      <w:tblPr>
        <w:tblStyle w:val="TableGrid"/>
        <w:tblW w:w="0" w:type="auto"/>
        <w:tblLook w:val="04A0" w:firstRow="1" w:lastRow="0" w:firstColumn="1" w:lastColumn="0" w:noHBand="0" w:noVBand="1"/>
      </w:tblPr>
      <w:tblGrid>
        <w:gridCol w:w="2293"/>
        <w:gridCol w:w="3165"/>
        <w:gridCol w:w="3888"/>
      </w:tblGrid>
      <w:tr w:rsidR="00E8350E" w14:paraId="31055333" w14:textId="77777777" w:rsidTr="00DC045A">
        <w:tc>
          <w:tcPr>
            <w:tcW w:w="2376" w:type="dxa"/>
          </w:tcPr>
          <w:p w14:paraId="66FB4FDF" w14:textId="24747C01" w:rsidR="00E8350E" w:rsidRPr="00733149" w:rsidRDefault="00E8350E" w:rsidP="001C140F">
            <w:pPr>
              <w:jc w:val="both"/>
              <w:rPr>
                <w:rFonts w:ascii="Book Antiqua" w:hAnsi="Book Antiqua"/>
                <w:b/>
                <w:bCs/>
                <w:lang w:val="en-US"/>
              </w:rPr>
            </w:pPr>
            <w:r w:rsidRPr="00733149">
              <w:rPr>
                <w:rFonts w:ascii="Book Antiqua" w:hAnsi="Book Antiqua"/>
                <w:b/>
                <w:bCs/>
                <w:lang w:val="en-US"/>
              </w:rPr>
              <w:t>Name of unit</w:t>
            </w:r>
          </w:p>
        </w:tc>
        <w:tc>
          <w:tcPr>
            <w:tcW w:w="3261" w:type="dxa"/>
          </w:tcPr>
          <w:p w14:paraId="5233FE98" w14:textId="215D6D52" w:rsidR="00E8350E" w:rsidRDefault="00600E00" w:rsidP="001C140F">
            <w:pPr>
              <w:jc w:val="both"/>
              <w:rPr>
                <w:rFonts w:ascii="Book Antiqua" w:hAnsi="Book Antiqua"/>
                <w:lang w:val="en-US"/>
              </w:rPr>
            </w:pPr>
            <w:r>
              <w:rPr>
                <w:rFonts w:ascii="Book Antiqua" w:hAnsi="Book Antiqua"/>
                <w:lang w:val="en-US"/>
              </w:rPr>
              <w:t>M/s Gemini Enterprises</w:t>
            </w:r>
          </w:p>
        </w:tc>
        <w:tc>
          <w:tcPr>
            <w:tcW w:w="3935" w:type="dxa"/>
          </w:tcPr>
          <w:p w14:paraId="2FBAEC3B" w14:textId="13E5DEAA" w:rsidR="00E8350E" w:rsidRDefault="00600E00" w:rsidP="001C140F">
            <w:pPr>
              <w:jc w:val="both"/>
              <w:rPr>
                <w:rFonts w:ascii="Book Antiqua" w:hAnsi="Book Antiqua"/>
                <w:lang w:val="en-US"/>
              </w:rPr>
            </w:pPr>
            <w:r>
              <w:rPr>
                <w:rFonts w:ascii="Book Antiqua" w:hAnsi="Book Antiqua"/>
                <w:lang w:val="en-US"/>
              </w:rPr>
              <w:t>M/s Bright Star Impex</w:t>
            </w:r>
          </w:p>
        </w:tc>
      </w:tr>
      <w:tr w:rsidR="00E8350E" w14:paraId="1A6E71F5" w14:textId="77777777" w:rsidTr="00DC045A">
        <w:tc>
          <w:tcPr>
            <w:tcW w:w="2376" w:type="dxa"/>
          </w:tcPr>
          <w:p w14:paraId="4CA833C6" w14:textId="460FC6A4" w:rsidR="00E8350E" w:rsidRPr="00733149" w:rsidRDefault="00E8350E" w:rsidP="001C140F">
            <w:pPr>
              <w:jc w:val="both"/>
              <w:rPr>
                <w:rFonts w:ascii="Book Antiqua" w:hAnsi="Book Antiqua"/>
                <w:b/>
                <w:bCs/>
                <w:lang w:val="en-US"/>
              </w:rPr>
            </w:pPr>
            <w:r w:rsidRPr="00733149">
              <w:rPr>
                <w:rFonts w:ascii="Book Antiqua" w:hAnsi="Book Antiqua"/>
                <w:b/>
                <w:bCs/>
                <w:lang w:val="en-US"/>
              </w:rPr>
              <w:t>MEIS File No. &amp; date</w:t>
            </w:r>
          </w:p>
        </w:tc>
        <w:tc>
          <w:tcPr>
            <w:tcW w:w="3261" w:type="dxa"/>
          </w:tcPr>
          <w:p w14:paraId="6BD70653" w14:textId="258190C6" w:rsidR="00E8350E" w:rsidRDefault="00600E00" w:rsidP="001C140F">
            <w:pPr>
              <w:jc w:val="both"/>
              <w:rPr>
                <w:rFonts w:ascii="Book Antiqua" w:hAnsi="Book Antiqua"/>
                <w:lang w:val="en-US"/>
              </w:rPr>
            </w:pPr>
            <w:r w:rsidRPr="00600E00">
              <w:rPr>
                <w:rFonts w:ascii="Book Antiqua" w:hAnsi="Book Antiqua"/>
                <w:lang w:val="en-US"/>
              </w:rPr>
              <w:t>412109050102AM23</w:t>
            </w:r>
            <w:r w:rsidRPr="00600E00">
              <w:rPr>
                <w:rFonts w:ascii="Book Antiqua" w:hAnsi="Book Antiqua"/>
                <w:lang w:val="en-US"/>
              </w:rPr>
              <w:t xml:space="preserve"> dated 31.08.2022</w:t>
            </w:r>
          </w:p>
        </w:tc>
        <w:tc>
          <w:tcPr>
            <w:tcW w:w="3935" w:type="dxa"/>
          </w:tcPr>
          <w:p w14:paraId="331A7E5D" w14:textId="7B67FC47" w:rsidR="00E8350E" w:rsidRDefault="00600E00" w:rsidP="001C140F">
            <w:pPr>
              <w:jc w:val="both"/>
              <w:rPr>
                <w:rFonts w:ascii="Book Antiqua" w:hAnsi="Book Antiqua"/>
                <w:lang w:val="en-US"/>
              </w:rPr>
            </w:pPr>
            <w:r w:rsidRPr="00600E00">
              <w:rPr>
                <w:rFonts w:ascii="Book Antiqua" w:hAnsi="Book Antiqua"/>
                <w:lang w:val="en-US"/>
              </w:rPr>
              <w:t>NSZMEISAPPLY00000001AM25</w:t>
            </w:r>
            <w:r w:rsidRPr="00600E00">
              <w:rPr>
                <w:rFonts w:ascii="Book Antiqua" w:hAnsi="Book Antiqua"/>
                <w:lang w:val="en-US"/>
              </w:rPr>
              <w:t xml:space="preserve"> dated 19.07.2024</w:t>
            </w:r>
          </w:p>
        </w:tc>
      </w:tr>
      <w:tr w:rsidR="00E8350E" w14:paraId="5FC7BE08" w14:textId="77777777" w:rsidTr="00DC045A">
        <w:tc>
          <w:tcPr>
            <w:tcW w:w="2376" w:type="dxa"/>
          </w:tcPr>
          <w:p w14:paraId="4ED75A0F" w14:textId="6BA74BCD" w:rsidR="00E8350E" w:rsidRPr="00733149" w:rsidRDefault="00E8350E" w:rsidP="001C140F">
            <w:pPr>
              <w:jc w:val="both"/>
              <w:rPr>
                <w:rFonts w:ascii="Book Antiqua" w:hAnsi="Book Antiqua"/>
                <w:b/>
                <w:bCs/>
                <w:lang w:val="en-US"/>
              </w:rPr>
            </w:pPr>
            <w:r w:rsidRPr="00733149">
              <w:rPr>
                <w:rFonts w:ascii="Book Antiqua" w:hAnsi="Book Antiqua"/>
                <w:b/>
                <w:bCs/>
                <w:lang w:val="en-US"/>
              </w:rPr>
              <w:t>FOB value INR</w:t>
            </w:r>
          </w:p>
        </w:tc>
        <w:tc>
          <w:tcPr>
            <w:tcW w:w="3261" w:type="dxa"/>
          </w:tcPr>
          <w:p w14:paraId="36A6C465" w14:textId="128DA01A" w:rsidR="00E8350E" w:rsidRDefault="00600E00" w:rsidP="001C140F">
            <w:pPr>
              <w:jc w:val="both"/>
              <w:rPr>
                <w:rFonts w:ascii="Book Antiqua" w:hAnsi="Book Antiqua"/>
                <w:lang w:val="en-US"/>
              </w:rPr>
            </w:pPr>
            <w:r w:rsidRPr="002E2FFC">
              <w:rPr>
                <w:rFonts w:ascii="Arial Unicode MS" w:eastAsia="Arial Unicode MS" w:hAnsi="Arial Unicode MS" w:cs="Arial Unicode MS" w:hint="eastAsia"/>
                <w:szCs w:val="22"/>
              </w:rPr>
              <w:t>25217450.00</w:t>
            </w:r>
          </w:p>
        </w:tc>
        <w:tc>
          <w:tcPr>
            <w:tcW w:w="3935" w:type="dxa"/>
          </w:tcPr>
          <w:p w14:paraId="36C93374" w14:textId="70384F48" w:rsidR="00E8350E" w:rsidRDefault="00600E00" w:rsidP="001C140F">
            <w:pPr>
              <w:jc w:val="both"/>
              <w:rPr>
                <w:rFonts w:ascii="Book Antiqua" w:hAnsi="Book Antiqua"/>
                <w:lang w:val="en-US"/>
              </w:rPr>
            </w:pPr>
            <w:r w:rsidRPr="002E2FFC">
              <w:rPr>
                <w:rFonts w:ascii="Arial Unicode MS" w:eastAsia="Arial Unicode MS" w:hAnsi="Arial Unicode MS" w:cs="Arial Unicode MS" w:hint="eastAsia"/>
                <w:szCs w:val="22"/>
              </w:rPr>
              <w:t>57,32,680.00</w:t>
            </w:r>
          </w:p>
        </w:tc>
      </w:tr>
      <w:tr w:rsidR="00E8350E" w14:paraId="13752B2C" w14:textId="77777777" w:rsidTr="00DC045A">
        <w:tc>
          <w:tcPr>
            <w:tcW w:w="2376" w:type="dxa"/>
          </w:tcPr>
          <w:p w14:paraId="1B105CF5" w14:textId="11EE666A" w:rsidR="00E8350E" w:rsidRPr="00733149" w:rsidRDefault="00E8350E" w:rsidP="001C140F">
            <w:pPr>
              <w:jc w:val="both"/>
              <w:rPr>
                <w:rFonts w:ascii="Book Antiqua" w:hAnsi="Book Antiqua"/>
                <w:b/>
                <w:bCs/>
                <w:lang w:val="en-US"/>
              </w:rPr>
            </w:pPr>
            <w:r w:rsidRPr="00733149">
              <w:rPr>
                <w:rFonts w:ascii="Book Antiqua" w:hAnsi="Book Antiqua"/>
                <w:b/>
                <w:bCs/>
                <w:lang w:val="en-US"/>
              </w:rPr>
              <w:t>Duty Entitlement INR</w:t>
            </w:r>
          </w:p>
        </w:tc>
        <w:tc>
          <w:tcPr>
            <w:tcW w:w="3261" w:type="dxa"/>
          </w:tcPr>
          <w:p w14:paraId="5DCAD8BA" w14:textId="75FE5161" w:rsidR="00E8350E" w:rsidRDefault="00600E00" w:rsidP="001C140F">
            <w:pPr>
              <w:jc w:val="both"/>
              <w:rPr>
                <w:rFonts w:ascii="Book Antiqua" w:hAnsi="Book Antiqua"/>
                <w:lang w:val="en-US"/>
              </w:rPr>
            </w:pPr>
            <w:r w:rsidRPr="002E2FFC">
              <w:rPr>
                <w:rFonts w:ascii="Arial Unicode MS" w:eastAsia="Arial Unicode MS" w:hAnsi="Arial Unicode MS" w:cs="Arial Unicode MS" w:hint="eastAsia"/>
                <w:szCs w:val="22"/>
              </w:rPr>
              <w:t>1260870.00</w:t>
            </w:r>
          </w:p>
        </w:tc>
        <w:tc>
          <w:tcPr>
            <w:tcW w:w="3935" w:type="dxa"/>
          </w:tcPr>
          <w:p w14:paraId="49E93A7A" w14:textId="61B7B4F6" w:rsidR="00E8350E" w:rsidRDefault="00600E00" w:rsidP="001C140F">
            <w:pPr>
              <w:jc w:val="both"/>
              <w:rPr>
                <w:rFonts w:ascii="Book Antiqua" w:hAnsi="Book Antiqua"/>
                <w:lang w:val="en-US"/>
              </w:rPr>
            </w:pPr>
            <w:r w:rsidRPr="002E2FFC">
              <w:rPr>
                <w:rFonts w:ascii="Arial Unicode MS" w:eastAsia="Arial Unicode MS" w:hAnsi="Arial Unicode MS" w:cs="Arial Unicode MS" w:hint="eastAsia"/>
                <w:szCs w:val="22"/>
              </w:rPr>
              <w:t>2,86,631.00</w:t>
            </w:r>
          </w:p>
        </w:tc>
      </w:tr>
      <w:tr w:rsidR="00E8350E" w14:paraId="3393CA34" w14:textId="77777777" w:rsidTr="00DC045A">
        <w:tc>
          <w:tcPr>
            <w:tcW w:w="2376" w:type="dxa"/>
          </w:tcPr>
          <w:p w14:paraId="1A167203" w14:textId="3A291C6C" w:rsidR="00E8350E" w:rsidRPr="00733149" w:rsidRDefault="00E8350E" w:rsidP="001C140F">
            <w:pPr>
              <w:jc w:val="both"/>
              <w:rPr>
                <w:rFonts w:ascii="Book Antiqua" w:hAnsi="Book Antiqua"/>
                <w:b/>
                <w:bCs/>
                <w:lang w:val="en-US"/>
              </w:rPr>
            </w:pPr>
            <w:r w:rsidRPr="00733149">
              <w:rPr>
                <w:rFonts w:ascii="Book Antiqua" w:hAnsi="Book Antiqua"/>
                <w:b/>
                <w:bCs/>
                <w:lang w:val="en-US"/>
              </w:rPr>
              <w:t>SB No. &amp; date</w:t>
            </w:r>
          </w:p>
        </w:tc>
        <w:tc>
          <w:tcPr>
            <w:tcW w:w="3261" w:type="dxa"/>
          </w:tcPr>
          <w:p w14:paraId="6A20A4CB" w14:textId="627DE3D6" w:rsidR="00E8350E" w:rsidRDefault="00600E00" w:rsidP="00DC045A">
            <w:pPr>
              <w:jc w:val="both"/>
              <w:rPr>
                <w:rFonts w:ascii="Book Antiqua" w:hAnsi="Book Antiqua"/>
                <w:lang w:val="en-US"/>
              </w:rPr>
            </w:pPr>
            <w:r>
              <w:rPr>
                <w:rFonts w:ascii="Book Antiqua" w:hAnsi="Book Antiqua"/>
                <w:lang w:val="en-US"/>
              </w:rPr>
              <w:t>4000340 d</w:t>
            </w:r>
            <w:r w:rsidR="00DC045A">
              <w:rPr>
                <w:rFonts w:ascii="Book Antiqua" w:hAnsi="Book Antiqua"/>
                <w:lang w:val="en-US"/>
              </w:rPr>
              <w:t>t.</w:t>
            </w:r>
            <w:r>
              <w:rPr>
                <w:rFonts w:ascii="Book Antiqua" w:hAnsi="Book Antiqua"/>
                <w:lang w:val="en-US"/>
              </w:rPr>
              <w:t xml:space="preserve"> 07.09.2020</w:t>
            </w:r>
          </w:p>
        </w:tc>
        <w:tc>
          <w:tcPr>
            <w:tcW w:w="3935" w:type="dxa"/>
          </w:tcPr>
          <w:p w14:paraId="015EF96F" w14:textId="20374593" w:rsidR="00E8350E" w:rsidRDefault="00600E00" w:rsidP="001C140F">
            <w:pPr>
              <w:jc w:val="both"/>
              <w:rPr>
                <w:rFonts w:ascii="Book Antiqua" w:hAnsi="Book Antiqua"/>
                <w:lang w:val="en-US"/>
              </w:rPr>
            </w:pPr>
            <w:r>
              <w:rPr>
                <w:rFonts w:ascii="Book Antiqua" w:hAnsi="Book Antiqua"/>
                <w:lang w:val="en-US"/>
              </w:rPr>
              <w:t>4000207 dt. 14.07.2020, 4000234 dt. 24.07.2020 &amp; 4000296 dt. 27.08.2020</w:t>
            </w:r>
          </w:p>
        </w:tc>
      </w:tr>
      <w:tr w:rsidR="00E8350E" w14:paraId="14E88E44" w14:textId="77777777" w:rsidTr="00DC045A">
        <w:tc>
          <w:tcPr>
            <w:tcW w:w="2376" w:type="dxa"/>
          </w:tcPr>
          <w:p w14:paraId="47C0ED2E" w14:textId="74C345B0" w:rsidR="00E8350E" w:rsidRPr="00733149" w:rsidRDefault="00E8350E" w:rsidP="001C140F">
            <w:pPr>
              <w:jc w:val="both"/>
              <w:rPr>
                <w:rFonts w:ascii="Book Antiqua" w:hAnsi="Book Antiqua"/>
                <w:b/>
                <w:bCs/>
                <w:lang w:val="en-US"/>
              </w:rPr>
            </w:pPr>
            <w:r w:rsidRPr="00733149">
              <w:rPr>
                <w:rFonts w:ascii="Book Antiqua" w:hAnsi="Book Antiqua"/>
                <w:b/>
                <w:bCs/>
                <w:lang w:val="en-US"/>
              </w:rPr>
              <w:t>LEO date</w:t>
            </w:r>
          </w:p>
        </w:tc>
        <w:tc>
          <w:tcPr>
            <w:tcW w:w="3261" w:type="dxa"/>
          </w:tcPr>
          <w:p w14:paraId="4F57DD35" w14:textId="6B2B9C10" w:rsidR="00E8350E" w:rsidRDefault="00600E00" w:rsidP="001C140F">
            <w:pPr>
              <w:jc w:val="both"/>
              <w:rPr>
                <w:rFonts w:ascii="Book Antiqua" w:hAnsi="Book Antiqua"/>
                <w:lang w:val="en-US"/>
              </w:rPr>
            </w:pPr>
            <w:r>
              <w:rPr>
                <w:rFonts w:ascii="Book Antiqua" w:hAnsi="Book Antiqua"/>
                <w:lang w:val="en-US"/>
              </w:rPr>
              <w:t>08.09.2020</w:t>
            </w:r>
          </w:p>
        </w:tc>
        <w:tc>
          <w:tcPr>
            <w:tcW w:w="3935" w:type="dxa"/>
          </w:tcPr>
          <w:p w14:paraId="78CE142A" w14:textId="17952FBD" w:rsidR="00E8350E" w:rsidRDefault="00600E00" w:rsidP="001C140F">
            <w:pPr>
              <w:jc w:val="both"/>
              <w:rPr>
                <w:rFonts w:ascii="Book Antiqua" w:hAnsi="Book Antiqua"/>
                <w:lang w:val="en-US"/>
              </w:rPr>
            </w:pPr>
            <w:r>
              <w:rPr>
                <w:rFonts w:ascii="Book Antiqua" w:hAnsi="Book Antiqua"/>
                <w:lang w:val="en-US"/>
              </w:rPr>
              <w:t>16.07.2020, 28.07.2020 &amp; 28.08.2020</w:t>
            </w:r>
          </w:p>
        </w:tc>
      </w:tr>
      <w:tr w:rsidR="00E8350E" w14:paraId="16E8C256" w14:textId="77777777" w:rsidTr="00DC045A">
        <w:tc>
          <w:tcPr>
            <w:tcW w:w="2376" w:type="dxa"/>
          </w:tcPr>
          <w:p w14:paraId="38A675AF" w14:textId="66EB137B" w:rsidR="00E8350E" w:rsidRPr="00733149" w:rsidRDefault="00E8350E" w:rsidP="001C140F">
            <w:pPr>
              <w:jc w:val="both"/>
              <w:rPr>
                <w:rFonts w:ascii="Book Antiqua" w:hAnsi="Book Antiqua"/>
                <w:b/>
                <w:bCs/>
                <w:lang w:val="en-US"/>
              </w:rPr>
            </w:pPr>
            <w:r w:rsidRPr="00733149">
              <w:rPr>
                <w:rFonts w:ascii="Book Antiqua" w:hAnsi="Book Antiqua"/>
                <w:b/>
                <w:bCs/>
                <w:lang w:val="en-US"/>
              </w:rPr>
              <w:t>Realization time</w:t>
            </w:r>
          </w:p>
        </w:tc>
        <w:tc>
          <w:tcPr>
            <w:tcW w:w="3261" w:type="dxa"/>
          </w:tcPr>
          <w:p w14:paraId="64FD9024" w14:textId="25250D28" w:rsidR="00E8350E" w:rsidRDefault="00600E00" w:rsidP="001C140F">
            <w:pPr>
              <w:jc w:val="both"/>
              <w:rPr>
                <w:rFonts w:ascii="Book Antiqua" w:hAnsi="Book Antiqua"/>
                <w:lang w:val="en-US"/>
              </w:rPr>
            </w:pPr>
            <w:r>
              <w:rPr>
                <w:rFonts w:ascii="Book Antiqua" w:hAnsi="Book Antiqua"/>
                <w:lang w:val="en-US"/>
              </w:rPr>
              <w:t>21-23 months</w:t>
            </w:r>
          </w:p>
        </w:tc>
        <w:tc>
          <w:tcPr>
            <w:tcW w:w="3935" w:type="dxa"/>
          </w:tcPr>
          <w:p w14:paraId="6E8F9F8C" w14:textId="602CCFAE" w:rsidR="00E8350E" w:rsidRDefault="00600E00" w:rsidP="001C140F">
            <w:pPr>
              <w:jc w:val="both"/>
              <w:rPr>
                <w:rFonts w:ascii="Book Antiqua" w:hAnsi="Book Antiqua"/>
                <w:lang w:val="en-US"/>
              </w:rPr>
            </w:pPr>
            <w:r>
              <w:rPr>
                <w:rFonts w:ascii="Book Antiqua" w:hAnsi="Book Antiqua"/>
                <w:lang w:val="en-US"/>
              </w:rPr>
              <w:t>20 months, 20 months &amp; 18 months</w:t>
            </w:r>
          </w:p>
        </w:tc>
      </w:tr>
      <w:tr w:rsidR="00600E00" w14:paraId="50B6BCEE" w14:textId="77777777" w:rsidTr="00DC045A">
        <w:tc>
          <w:tcPr>
            <w:tcW w:w="2376" w:type="dxa"/>
          </w:tcPr>
          <w:p w14:paraId="2C1995C4" w14:textId="50336A9E" w:rsidR="00600E00" w:rsidRPr="00733149" w:rsidRDefault="00600E00" w:rsidP="001C140F">
            <w:pPr>
              <w:jc w:val="both"/>
              <w:rPr>
                <w:rFonts w:ascii="Book Antiqua" w:hAnsi="Book Antiqua"/>
                <w:b/>
                <w:bCs/>
                <w:lang w:val="en-US"/>
              </w:rPr>
            </w:pPr>
            <w:r w:rsidRPr="00733149">
              <w:rPr>
                <w:rFonts w:ascii="Book Antiqua" w:hAnsi="Book Antiqua"/>
                <w:b/>
                <w:bCs/>
                <w:lang w:val="en-US"/>
              </w:rPr>
              <w:t>AD Bank/ RBI Extension</w:t>
            </w:r>
          </w:p>
        </w:tc>
        <w:tc>
          <w:tcPr>
            <w:tcW w:w="3261" w:type="dxa"/>
          </w:tcPr>
          <w:p w14:paraId="6C933E64" w14:textId="20B500A8" w:rsidR="00600E00" w:rsidRDefault="00600E00" w:rsidP="00600E00">
            <w:pPr>
              <w:jc w:val="both"/>
              <w:rPr>
                <w:rFonts w:ascii="Book Antiqua" w:hAnsi="Book Antiqua"/>
                <w:lang w:val="en-US"/>
              </w:rPr>
            </w:pPr>
            <w:r>
              <w:rPr>
                <w:rFonts w:ascii="Book Antiqua" w:hAnsi="Book Antiqua"/>
                <w:lang w:val="en-US"/>
              </w:rPr>
              <w:t xml:space="preserve">The SB is realized after stipulated time allowed by RBI for Forex realization </w:t>
            </w:r>
            <w:r>
              <w:rPr>
                <w:rFonts w:ascii="Book Antiqua" w:hAnsi="Book Antiqua"/>
                <w:lang w:val="en-US"/>
              </w:rPr>
              <w:t>however</w:t>
            </w:r>
            <w:r>
              <w:rPr>
                <w:rFonts w:ascii="Book Antiqua" w:hAnsi="Book Antiqua"/>
                <w:lang w:val="en-US"/>
              </w:rPr>
              <w:t xml:space="preserve"> time-extension from RBI/ AD Bank not submitted by unit</w:t>
            </w:r>
          </w:p>
        </w:tc>
        <w:tc>
          <w:tcPr>
            <w:tcW w:w="3935" w:type="dxa"/>
          </w:tcPr>
          <w:p w14:paraId="67CD7963" w14:textId="653F0176" w:rsidR="00600E00" w:rsidRDefault="00DC045A" w:rsidP="001C140F">
            <w:pPr>
              <w:jc w:val="both"/>
              <w:rPr>
                <w:rFonts w:ascii="Book Antiqua" w:hAnsi="Book Antiqua"/>
                <w:lang w:val="en-US"/>
              </w:rPr>
            </w:pPr>
            <w:r>
              <w:rPr>
                <w:rFonts w:ascii="Book Antiqua" w:hAnsi="Book Antiqua"/>
                <w:lang w:val="en-US"/>
              </w:rPr>
              <w:t>The SB is realized after stipulated time allowed by RBI for Forex realization however time-extension from RBI/ AD Bank not submitted by unit</w:t>
            </w:r>
          </w:p>
        </w:tc>
      </w:tr>
      <w:tr w:rsidR="00E8350E" w14:paraId="3CA59D89" w14:textId="77777777" w:rsidTr="00DC045A">
        <w:tc>
          <w:tcPr>
            <w:tcW w:w="2376" w:type="dxa"/>
          </w:tcPr>
          <w:p w14:paraId="7A74161C" w14:textId="5E576A2A" w:rsidR="00E8350E" w:rsidRPr="00733149" w:rsidRDefault="00E8350E" w:rsidP="001C140F">
            <w:pPr>
              <w:jc w:val="both"/>
              <w:rPr>
                <w:rFonts w:ascii="Book Antiqua" w:hAnsi="Book Antiqua"/>
                <w:b/>
                <w:bCs/>
                <w:lang w:val="en-US"/>
              </w:rPr>
            </w:pPr>
            <w:r w:rsidRPr="00733149">
              <w:rPr>
                <w:rFonts w:ascii="Book Antiqua" w:hAnsi="Book Antiqua"/>
                <w:b/>
                <w:bCs/>
                <w:lang w:val="en-US"/>
              </w:rPr>
              <w:t>Remarks</w:t>
            </w:r>
          </w:p>
        </w:tc>
        <w:tc>
          <w:tcPr>
            <w:tcW w:w="3261" w:type="dxa"/>
          </w:tcPr>
          <w:p w14:paraId="52812B34" w14:textId="19766FA8" w:rsidR="00E8350E" w:rsidRDefault="00600E00" w:rsidP="001C140F">
            <w:pPr>
              <w:jc w:val="both"/>
              <w:rPr>
                <w:rFonts w:ascii="Book Antiqua" w:hAnsi="Book Antiqua"/>
                <w:lang w:val="en-US"/>
              </w:rPr>
            </w:pPr>
            <w:r>
              <w:rPr>
                <w:rFonts w:ascii="Book Antiqua" w:hAnsi="Book Antiqua"/>
                <w:lang w:val="en-US"/>
              </w:rPr>
              <w:t>-</w:t>
            </w:r>
          </w:p>
        </w:tc>
        <w:tc>
          <w:tcPr>
            <w:tcW w:w="3935" w:type="dxa"/>
          </w:tcPr>
          <w:p w14:paraId="40634D9F" w14:textId="07DE3B95" w:rsidR="00E8350E" w:rsidRDefault="00600E00" w:rsidP="00DC045A">
            <w:pPr>
              <w:jc w:val="both"/>
              <w:rPr>
                <w:rFonts w:ascii="Book Antiqua" w:hAnsi="Book Antiqua"/>
                <w:lang w:val="en-US"/>
              </w:rPr>
            </w:pPr>
            <w:r>
              <w:rPr>
                <w:rFonts w:ascii="Book Antiqua" w:hAnsi="Book Antiqua"/>
                <w:lang w:val="en-US"/>
              </w:rPr>
              <w:t>This claim was filed by unit o</w:t>
            </w:r>
            <w:r w:rsidR="00DC045A">
              <w:rPr>
                <w:rFonts w:ascii="Book Antiqua" w:hAnsi="Book Antiqua"/>
                <w:lang w:val="en-US"/>
              </w:rPr>
              <w:t>n 19.07.2024 (approx. 5 months) after decision of PRC dated 23.02.2024 in the matter.</w:t>
            </w:r>
          </w:p>
        </w:tc>
      </w:tr>
    </w:tbl>
    <w:p w14:paraId="0FA4B480" w14:textId="73A0673E" w:rsidR="001C140F" w:rsidRDefault="001C140F" w:rsidP="00E8350E">
      <w:pPr>
        <w:shd w:val="clear" w:color="auto" w:fill="FFFFFF"/>
        <w:spacing w:before="240" w:after="0"/>
        <w:jc w:val="both"/>
        <w:rPr>
          <w:rFonts w:ascii="Book Antiqua" w:hAnsi="Book Antiqua"/>
          <w:lang w:val="en-US"/>
        </w:rPr>
      </w:pPr>
      <w:r>
        <w:rPr>
          <w:rFonts w:ascii="Book Antiqua" w:hAnsi="Book Antiqua" w:cs="Calibri"/>
          <w:lang w:val="en-US"/>
        </w:rPr>
        <w:t>3</w:t>
      </w:r>
      <w:r w:rsidR="00B92E16">
        <w:rPr>
          <w:rFonts w:ascii="Book Antiqua" w:hAnsi="Book Antiqua" w:cs="Calibri"/>
          <w:lang w:val="en-US"/>
        </w:rPr>
        <w:t xml:space="preserve">. </w:t>
      </w:r>
      <w:r w:rsidR="00E8350E">
        <w:rPr>
          <w:rFonts w:ascii="Book Antiqua" w:hAnsi="Book Antiqua"/>
          <w:lang w:val="en-US"/>
        </w:rPr>
        <w:t>In this regard, the following information/clarification is sought</w:t>
      </w:r>
      <w:r w:rsidR="0098256E" w:rsidRPr="00C64E9F">
        <w:rPr>
          <w:rFonts w:ascii="Book Antiqua" w:hAnsi="Book Antiqua"/>
          <w:lang w:val="en-US"/>
        </w:rPr>
        <w:t>:</w:t>
      </w:r>
    </w:p>
    <w:p w14:paraId="585591BC" w14:textId="65440652" w:rsidR="00D27D94" w:rsidRDefault="00D27D94" w:rsidP="00733149">
      <w:pPr>
        <w:pStyle w:val="ListParagraph"/>
        <w:numPr>
          <w:ilvl w:val="0"/>
          <w:numId w:val="2"/>
        </w:numPr>
        <w:shd w:val="clear" w:color="auto" w:fill="FFFFFF"/>
        <w:spacing w:after="0"/>
        <w:jc w:val="both"/>
        <w:rPr>
          <w:rFonts w:ascii="Book Antiqua" w:hAnsi="Book Antiqua"/>
          <w:lang w:val="en-US"/>
        </w:rPr>
      </w:pPr>
      <w:r>
        <w:rPr>
          <w:rFonts w:ascii="Book Antiqua" w:hAnsi="Book Antiqua"/>
          <w:lang w:val="en-US"/>
        </w:rPr>
        <w:t>Please provide</w:t>
      </w:r>
      <w:r w:rsidR="00DC045A" w:rsidRPr="00D27D94">
        <w:rPr>
          <w:rFonts w:ascii="Book Antiqua" w:hAnsi="Book Antiqua"/>
          <w:lang w:val="en-US"/>
        </w:rPr>
        <w:t xml:space="preserve"> copy of order of PRC dated </w:t>
      </w:r>
      <w:r w:rsidR="001E6AB8" w:rsidRPr="00D27D94">
        <w:rPr>
          <w:rFonts w:ascii="Book Antiqua" w:hAnsi="Book Antiqua"/>
          <w:lang w:val="en-US"/>
        </w:rPr>
        <w:t>23.02.2024 against which M/s Bright Star Impex has filed MEIS claim</w:t>
      </w:r>
      <w:r>
        <w:rPr>
          <w:rFonts w:ascii="Book Antiqua" w:hAnsi="Book Antiqua"/>
          <w:lang w:val="en-US"/>
        </w:rPr>
        <w:t xml:space="preserve"> as this office has not received PRC decision copy till date</w:t>
      </w:r>
      <w:r w:rsidR="001E6AB8" w:rsidRPr="00D27D94">
        <w:rPr>
          <w:rFonts w:ascii="Book Antiqua" w:hAnsi="Book Antiqua"/>
          <w:lang w:val="en-US"/>
        </w:rPr>
        <w:t>.</w:t>
      </w:r>
    </w:p>
    <w:p w14:paraId="2C677F13" w14:textId="1678B0A9" w:rsidR="00D27D94" w:rsidRDefault="00D27D94" w:rsidP="00D27D94">
      <w:pPr>
        <w:pStyle w:val="ListParagraph"/>
        <w:numPr>
          <w:ilvl w:val="0"/>
          <w:numId w:val="2"/>
        </w:numPr>
        <w:shd w:val="clear" w:color="auto" w:fill="FFFFFF"/>
        <w:spacing w:before="240" w:after="0"/>
        <w:jc w:val="both"/>
        <w:rPr>
          <w:rFonts w:ascii="Book Antiqua" w:hAnsi="Book Antiqua"/>
          <w:lang w:val="en-US"/>
        </w:rPr>
      </w:pPr>
      <w:r>
        <w:rPr>
          <w:rFonts w:ascii="Book Antiqua" w:hAnsi="Book Antiqua"/>
          <w:lang w:val="en-US"/>
        </w:rPr>
        <w:t>Please clarify if the unit’s claim filed on 19.07.2024 against decision of PRC dated 23.02.2024 can be processed by the office since claim is filed after 30 days of PRC decision.</w:t>
      </w:r>
    </w:p>
    <w:p w14:paraId="2F1DF932" w14:textId="1E0E5396" w:rsidR="00D27D94" w:rsidRPr="00D27D94" w:rsidRDefault="00D27D94" w:rsidP="00D27D94">
      <w:pPr>
        <w:pStyle w:val="ListParagraph"/>
        <w:numPr>
          <w:ilvl w:val="0"/>
          <w:numId w:val="2"/>
        </w:numPr>
        <w:shd w:val="clear" w:color="auto" w:fill="FFFFFF"/>
        <w:spacing w:before="240" w:after="0"/>
        <w:jc w:val="both"/>
        <w:rPr>
          <w:rFonts w:ascii="Book Antiqua" w:hAnsi="Book Antiqua"/>
          <w:lang w:val="en-US"/>
        </w:rPr>
      </w:pPr>
      <w:r>
        <w:rPr>
          <w:rFonts w:ascii="Book Antiqua" w:hAnsi="Book Antiqua"/>
          <w:lang w:val="en-US"/>
        </w:rPr>
        <w:lastRenderedPageBreak/>
        <w:t>Com</w:t>
      </w:r>
      <w:r w:rsidRPr="002E2FFC">
        <w:rPr>
          <w:rFonts w:ascii="Book Antiqua" w:hAnsi="Book Antiqua"/>
          <w:lang w:val="en-US"/>
        </w:rPr>
        <w:t xml:space="preserve">ments on as to whether the claim is admissible when the forex was not </w:t>
      </w:r>
      <w:r>
        <w:rPr>
          <w:rFonts w:ascii="Book Antiqua" w:hAnsi="Book Antiqua"/>
          <w:lang w:val="en-US"/>
        </w:rPr>
        <w:t xml:space="preserve">realized </w:t>
      </w:r>
      <w:r w:rsidRPr="002E2FFC">
        <w:rPr>
          <w:rFonts w:ascii="Book Antiqua" w:hAnsi="Book Antiqua"/>
          <w:lang w:val="en-US"/>
        </w:rPr>
        <w:t xml:space="preserve">within the stipulated time </w:t>
      </w:r>
      <w:r w:rsidR="00AD1E33">
        <w:rPr>
          <w:rFonts w:ascii="Book Antiqua" w:hAnsi="Book Antiqua"/>
          <w:lang w:val="en-US"/>
        </w:rPr>
        <w:t>of 9 months as specified by RBI</w:t>
      </w:r>
      <w:r w:rsidRPr="002E2FFC">
        <w:rPr>
          <w:rFonts w:ascii="Book Antiqua" w:hAnsi="Book Antiqua"/>
          <w:lang w:val="en-US"/>
        </w:rPr>
        <w:t>.</w:t>
      </w:r>
    </w:p>
    <w:p w14:paraId="13F69FA9" w14:textId="7FFFD070" w:rsidR="00770BAF" w:rsidRDefault="00770BAF" w:rsidP="00944081">
      <w:pPr>
        <w:shd w:val="clear" w:color="auto" w:fill="FFFFFF"/>
        <w:spacing w:before="240" w:after="0"/>
        <w:jc w:val="both"/>
        <w:rPr>
          <w:rFonts w:ascii="Book Antiqua" w:hAnsi="Book Antiqua"/>
          <w:lang w:val="en-US"/>
        </w:rPr>
      </w:pPr>
      <w:r>
        <w:rPr>
          <w:rFonts w:ascii="Book Antiqua" w:hAnsi="Book Antiqua"/>
          <w:lang w:val="en-US"/>
        </w:rPr>
        <w:t>4. In view of above, you are</w:t>
      </w:r>
      <w:r w:rsidR="002B7C46">
        <w:rPr>
          <w:rFonts w:ascii="Book Antiqua" w:hAnsi="Book Antiqua"/>
          <w:lang w:val="en-US"/>
        </w:rPr>
        <w:t xml:space="preserve"> </w:t>
      </w:r>
      <w:r>
        <w:rPr>
          <w:rFonts w:ascii="Book Antiqua" w:hAnsi="Book Antiqua"/>
          <w:lang w:val="en-US"/>
        </w:rPr>
        <w:t xml:space="preserve">requested to </w:t>
      </w:r>
      <w:r w:rsidR="00E8350E">
        <w:rPr>
          <w:rFonts w:ascii="Book Antiqua" w:hAnsi="Book Antiqua"/>
          <w:lang w:val="en-US"/>
        </w:rPr>
        <w:t xml:space="preserve">furnish your valuable comments/ suggestions with respect to Para 3 above so that this office may </w:t>
      </w:r>
      <w:r w:rsidR="00600E00">
        <w:rPr>
          <w:rFonts w:ascii="Book Antiqua" w:hAnsi="Book Antiqua"/>
          <w:lang w:val="en-US"/>
        </w:rPr>
        <w:t>process the MEIS claims accordingly</w:t>
      </w:r>
      <w:r w:rsidR="00334F4C">
        <w:rPr>
          <w:rFonts w:ascii="Book Antiqua" w:hAnsi="Book Antiqua"/>
          <w:lang w:val="en-US"/>
        </w:rPr>
        <w:t>.</w:t>
      </w:r>
    </w:p>
    <w:p w14:paraId="1D917799" w14:textId="563BDCBE" w:rsidR="00D00049" w:rsidRPr="00B90013" w:rsidRDefault="00CF572A" w:rsidP="00600E00">
      <w:pPr>
        <w:shd w:val="clear" w:color="auto" w:fill="FFFFFF"/>
        <w:spacing w:before="240" w:after="0"/>
        <w:jc w:val="right"/>
        <w:rPr>
          <w:rFonts w:ascii="Book Antiqua" w:hAnsi="Book Antiqua"/>
          <w:lang w:val="en-US"/>
        </w:rPr>
      </w:pPr>
      <w:r w:rsidRPr="00B90013">
        <w:rPr>
          <w:rFonts w:ascii="Book Antiqua" w:hAnsi="Book Antiqua"/>
          <w:lang w:val="en-US"/>
        </w:rPr>
        <w:t>Yours</w:t>
      </w:r>
      <w:r w:rsidR="00770BAF" w:rsidRPr="00B90013">
        <w:rPr>
          <w:rFonts w:ascii="Book Antiqua" w:hAnsi="Book Antiqua"/>
          <w:lang w:val="en-US"/>
        </w:rPr>
        <w:t xml:space="preserve"> faithfully,</w:t>
      </w:r>
    </w:p>
    <w:p w14:paraId="1CCC8552" w14:textId="77777777" w:rsidR="00770BAF" w:rsidRPr="00B90013" w:rsidRDefault="00770BAF" w:rsidP="00B90013">
      <w:pPr>
        <w:shd w:val="clear" w:color="auto" w:fill="FFFFFF"/>
        <w:spacing w:after="0"/>
        <w:jc w:val="right"/>
        <w:rPr>
          <w:rFonts w:ascii="Book Antiqua" w:hAnsi="Book Antiqua"/>
          <w:lang w:val="en-US"/>
        </w:rPr>
      </w:pPr>
    </w:p>
    <w:p w14:paraId="00AEDF29" w14:textId="77777777" w:rsidR="00770BAF" w:rsidRPr="00B90013" w:rsidRDefault="00770BAF" w:rsidP="00B90013">
      <w:pPr>
        <w:shd w:val="clear" w:color="auto" w:fill="FFFFFF"/>
        <w:spacing w:after="0"/>
        <w:jc w:val="right"/>
        <w:rPr>
          <w:rFonts w:ascii="Book Antiqua" w:hAnsi="Book Antiqua"/>
          <w:lang w:val="en-US"/>
        </w:rPr>
      </w:pPr>
    </w:p>
    <w:p w14:paraId="269EB59F" w14:textId="34081E25" w:rsidR="005C2CE1" w:rsidRPr="00B90013" w:rsidRDefault="005C2CE1" w:rsidP="00B90013">
      <w:pPr>
        <w:shd w:val="clear" w:color="auto" w:fill="FFFFFF"/>
        <w:spacing w:after="0"/>
        <w:jc w:val="right"/>
        <w:rPr>
          <w:rFonts w:ascii="Book Antiqua" w:hAnsi="Book Antiqua"/>
          <w:lang w:val="en-US"/>
        </w:rPr>
      </w:pPr>
      <w:r w:rsidRPr="00B90013">
        <w:rPr>
          <w:rFonts w:ascii="Book Antiqua" w:hAnsi="Book Antiqua"/>
          <w:lang w:val="en-US"/>
        </w:rPr>
        <w:t>(</w:t>
      </w:r>
      <w:r w:rsidR="00AD1E33">
        <w:rPr>
          <w:rFonts w:ascii="Book Antiqua" w:hAnsi="Book Antiqua"/>
          <w:lang w:val="en-US"/>
        </w:rPr>
        <w:t>Nitin Gupta</w:t>
      </w:r>
      <w:r w:rsidRPr="00B90013">
        <w:rPr>
          <w:rFonts w:ascii="Book Antiqua" w:hAnsi="Book Antiqua"/>
          <w:lang w:val="en-US"/>
        </w:rPr>
        <w:t>)</w:t>
      </w:r>
    </w:p>
    <w:p w14:paraId="70FD6BA7" w14:textId="0CCF5729" w:rsidR="00F86F8D" w:rsidRPr="00E131C8" w:rsidRDefault="00AD1E33" w:rsidP="00B90013">
      <w:pPr>
        <w:shd w:val="clear" w:color="auto" w:fill="FFFFFF"/>
        <w:spacing w:after="0"/>
        <w:jc w:val="right"/>
        <w:rPr>
          <w:rFonts w:ascii="Book Antiqua" w:eastAsia="Times New Roman" w:hAnsi="Book Antiqua" w:cs="Arial Unicode MS"/>
          <w:sz w:val="24"/>
          <w:szCs w:val="24"/>
          <w:lang w:eastAsia="en-IN" w:bidi="hi-IN"/>
        </w:rPr>
      </w:pPr>
      <w:r>
        <w:rPr>
          <w:rFonts w:ascii="Book Antiqua" w:hAnsi="Book Antiqua"/>
          <w:lang w:val="en-US"/>
        </w:rPr>
        <w:t>Dy</w:t>
      </w:r>
      <w:r w:rsidR="005C2CE1" w:rsidRPr="00B90013">
        <w:rPr>
          <w:rFonts w:ascii="Book Antiqua" w:hAnsi="Book Antiqua"/>
          <w:lang w:val="en-US"/>
        </w:rPr>
        <w:t>. Development Commissioner</w:t>
      </w:r>
    </w:p>
    <w:sectPr w:rsidR="00F86F8D" w:rsidRPr="00E131C8" w:rsidSect="00944081">
      <w:pgSz w:w="11906" w:h="16838"/>
      <w:pgMar w:top="1276" w:right="1274" w:bottom="1276"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FB19F" w14:textId="77777777" w:rsidR="00DF1AF0" w:rsidRDefault="00DF1AF0" w:rsidP="00993B33">
      <w:pPr>
        <w:spacing w:after="0" w:line="240" w:lineRule="auto"/>
      </w:pPr>
      <w:r>
        <w:separator/>
      </w:r>
    </w:p>
  </w:endnote>
  <w:endnote w:type="continuationSeparator" w:id="0">
    <w:p w14:paraId="63DC86FD" w14:textId="77777777" w:rsidR="00DF1AF0" w:rsidRDefault="00DF1AF0" w:rsidP="00993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ABDA3" w14:textId="77777777" w:rsidR="00DF1AF0" w:rsidRDefault="00DF1AF0" w:rsidP="00993B33">
      <w:pPr>
        <w:spacing w:after="0" w:line="240" w:lineRule="auto"/>
      </w:pPr>
      <w:r>
        <w:separator/>
      </w:r>
    </w:p>
  </w:footnote>
  <w:footnote w:type="continuationSeparator" w:id="0">
    <w:p w14:paraId="1438DE87" w14:textId="77777777" w:rsidR="00DF1AF0" w:rsidRDefault="00DF1AF0" w:rsidP="00993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37B27"/>
    <w:multiLevelType w:val="hybridMultilevel"/>
    <w:tmpl w:val="D6F037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4975B9"/>
    <w:multiLevelType w:val="hybridMultilevel"/>
    <w:tmpl w:val="3D126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049"/>
    <w:rsid w:val="0000310E"/>
    <w:rsid w:val="00055409"/>
    <w:rsid w:val="00064F48"/>
    <w:rsid w:val="00081234"/>
    <w:rsid w:val="00091ACA"/>
    <w:rsid w:val="001268CC"/>
    <w:rsid w:val="001342FF"/>
    <w:rsid w:val="001662ED"/>
    <w:rsid w:val="00176217"/>
    <w:rsid w:val="001C140F"/>
    <w:rsid w:val="001E6AB8"/>
    <w:rsid w:val="001F6B82"/>
    <w:rsid w:val="002110D3"/>
    <w:rsid w:val="002136BF"/>
    <w:rsid w:val="002B7C46"/>
    <w:rsid w:val="002E5D3B"/>
    <w:rsid w:val="002F2AE8"/>
    <w:rsid w:val="00334F4C"/>
    <w:rsid w:val="003919FB"/>
    <w:rsid w:val="003D5A05"/>
    <w:rsid w:val="003E7F08"/>
    <w:rsid w:val="00415389"/>
    <w:rsid w:val="00422580"/>
    <w:rsid w:val="0042319D"/>
    <w:rsid w:val="00435D00"/>
    <w:rsid w:val="00465EBE"/>
    <w:rsid w:val="004663E9"/>
    <w:rsid w:val="004B7472"/>
    <w:rsid w:val="004C3EBA"/>
    <w:rsid w:val="00576E7A"/>
    <w:rsid w:val="005C2CE1"/>
    <w:rsid w:val="00600E00"/>
    <w:rsid w:val="00631627"/>
    <w:rsid w:val="00636F74"/>
    <w:rsid w:val="00656D61"/>
    <w:rsid w:val="006772F0"/>
    <w:rsid w:val="006C2C78"/>
    <w:rsid w:val="006C2DCF"/>
    <w:rsid w:val="006D0E91"/>
    <w:rsid w:val="00724167"/>
    <w:rsid w:val="00733149"/>
    <w:rsid w:val="00770BAF"/>
    <w:rsid w:val="00782356"/>
    <w:rsid w:val="00891291"/>
    <w:rsid w:val="008F691D"/>
    <w:rsid w:val="0094166F"/>
    <w:rsid w:val="00944081"/>
    <w:rsid w:val="0098256E"/>
    <w:rsid w:val="00993B33"/>
    <w:rsid w:val="009B2787"/>
    <w:rsid w:val="009F1E3C"/>
    <w:rsid w:val="00A07C78"/>
    <w:rsid w:val="00A82C5A"/>
    <w:rsid w:val="00AD1B46"/>
    <w:rsid w:val="00AD1E33"/>
    <w:rsid w:val="00B168DC"/>
    <w:rsid w:val="00B63EC6"/>
    <w:rsid w:val="00B83EBB"/>
    <w:rsid w:val="00B90013"/>
    <w:rsid w:val="00B92E16"/>
    <w:rsid w:val="00C64E9F"/>
    <w:rsid w:val="00CC08F1"/>
    <w:rsid w:val="00CD1CD6"/>
    <w:rsid w:val="00CF572A"/>
    <w:rsid w:val="00D00049"/>
    <w:rsid w:val="00D27D94"/>
    <w:rsid w:val="00D87763"/>
    <w:rsid w:val="00D97F15"/>
    <w:rsid w:val="00DC045A"/>
    <w:rsid w:val="00DC4ADB"/>
    <w:rsid w:val="00DF1AF0"/>
    <w:rsid w:val="00E131C8"/>
    <w:rsid w:val="00E574DD"/>
    <w:rsid w:val="00E701B8"/>
    <w:rsid w:val="00E8350E"/>
    <w:rsid w:val="00E853A0"/>
    <w:rsid w:val="00F743CE"/>
    <w:rsid w:val="00F7782F"/>
    <w:rsid w:val="00F86F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6561"/>
  <w15:docId w15:val="{2F87C999-A33D-463D-A771-D9894FA2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415389"/>
    <w:pPr>
      <w:keepNext/>
      <w:spacing w:after="0" w:line="240" w:lineRule="auto"/>
      <w:jc w:val="both"/>
      <w:outlineLvl w:val="1"/>
    </w:pPr>
    <w:rPr>
      <w:rFonts w:ascii="Arial Narrow" w:eastAsia="Times New Roman" w:hAnsi="Arial Narrow"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049"/>
    <w:rPr>
      <w:color w:val="0000FF"/>
      <w:u w:val="single"/>
    </w:rPr>
  </w:style>
  <w:style w:type="character" w:customStyle="1" w:styleId="Heading2Char">
    <w:name w:val="Heading 2 Char"/>
    <w:basedOn w:val="DefaultParagraphFont"/>
    <w:link w:val="Heading2"/>
    <w:rsid w:val="00415389"/>
    <w:rPr>
      <w:rFonts w:ascii="Arial Narrow" w:eastAsia="Times New Roman" w:hAnsi="Arial Narrow" w:cs="Times New Roman"/>
      <w:sz w:val="28"/>
      <w:szCs w:val="20"/>
      <w:lang w:val="en-US"/>
    </w:rPr>
  </w:style>
  <w:style w:type="paragraph" w:styleId="Header">
    <w:name w:val="header"/>
    <w:basedOn w:val="Normal"/>
    <w:link w:val="HeaderChar"/>
    <w:uiPriority w:val="99"/>
    <w:unhideWhenUsed/>
    <w:rsid w:val="00415389"/>
    <w:pPr>
      <w:tabs>
        <w:tab w:val="center" w:pos="4680"/>
        <w:tab w:val="right" w:pos="936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415389"/>
    <w:rPr>
      <w:rFonts w:ascii="Times New Roman" w:eastAsia="Times New Roman" w:hAnsi="Times New Roman" w:cs="Times New Roman"/>
      <w:sz w:val="20"/>
      <w:szCs w:val="20"/>
      <w:lang w:val="en-US"/>
    </w:rPr>
  </w:style>
  <w:style w:type="table" w:styleId="TableGrid">
    <w:name w:val="Table Grid"/>
    <w:basedOn w:val="TableNormal"/>
    <w:uiPriority w:val="59"/>
    <w:rsid w:val="00415389"/>
    <w:pPr>
      <w:spacing w:after="0" w:line="240" w:lineRule="auto"/>
    </w:pPr>
    <w:rPr>
      <w:rFonts w:eastAsiaTheme="minorEastAsia"/>
      <w:szCs w:val="20"/>
      <w:lang w:eastAsia="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93B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B33"/>
    <w:rPr>
      <w:sz w:val="20"/>
      <w:szCs w:val="20"/>
    </w:rPr>
  </w:style>
  <w:style w:type="character" w:styleId="EndnoteReference">
    <w:name w:val="endnote reference"/>
    <w:basedOn w:val="DefaultParagraphFont"/>
    <w:uiPriority w:val="99"/>
    <w:semiHidden/>
    <w:unhideWhenUsed/>
    <w:rsid w:val="00993B33"/>
    <w:rPr>
      <w:vertAlign w:val="superscript"/>
    </w:rPr>
  </w:style>
  <w:style w:type="paragraph" w:styleId="NormalWeb">
    <w:name w:val="Normal (Web)"/>
    <w:basedOn w:val="Normal"/>
    <w:uiPriority w:val="99"/>
    <w:unhideWhenUsed/>
    <w:rsid w:val="005C2CE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UnresolvedMention">
    <w:name w:val="Unresolved Mention"/>
    <w:basedOn w:val="DefaultParagraphFont"/>
    <w:uiPriority w:val="99"/>
    <w:semiHidden/>
    <w:unhideWhenUsed/>
    <w:rsid w:val="00E131C8"/>
    <w:rPr>
      <w:color w:val="605E5C"/>
      <w:shd w:val="clear" w:color="auto" w:fill="E1DFDD"/>
    </w:rPr>
  </w:style>
  <w:style w:type="paragraph" w:styleId="ListParagraph">
    <w:name w:val="List Paragraph"/>
    <w:basedOn w:val="Normal"/>
    <w:uiPriority w:val="34"/>
    <w:qFormat/>
    <w:rsid w:val="00D27D94"/>
    <w:pPr>
      <w:ind w:left="720"/>
      <w:contextualSpacing/>
    </w:pPr>
  </w:style>
  <w:style w:type="paragraph" w:styleId="BalloonText">
    <w:name w:val="Balloon Text"/>
    <w:basedOn w:val="Normal"/>
    <w:link w:val="BalloonTextChar"/>
    <w:uiPriority w:val="99"/>
    <w:semiHidden/>
    <w:unhideWhenUsed/>
    <w:rsid w:val="00A07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113076">
      <w:bodyDiv w:val="1"/>
      <w:marLeft w:val="0"/>
      <w:marRight w:val="0"/>
      <w:marTop w:val="0"/>
      <w:marBottom w:val="0"/>
      <w:divBdr>
        <w:top w:val="none" w:sz="0" w:space="0" w:color="auto"/>
        <w:left w:val="none" w:sz="0" w:space="0" w:color="auto"/>
        <w:bottom w:val="none" w:sz="0" w:space="0" w:color="auto"/>
        <w:right w:val="none" w:sz="0" w:space="0" w:color="auto"/>
      </w:divBdr>
    </w:div>
    <w:div w:id="159300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7BCC8-B2A1-42C8-9A59-AF86460D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Shivratan Chhonkar</dc:creator>
  <cp:lastModifiedBy>hp</cp:lastModifiedBy>
  <cp:revision>4</cp:revision>
  <cp:lastPrinted>2024-08-23T10:03:00Z</cp:lastPrinted>
  <dcterms:created xsi:type="dcterms:W3CDTF">2024-08-23T09:53:00Z</dcterms:created>
  <dcterms:modified xsi:type="dcterms:W3CDTF">2024-08-23T10:04:00Z</dcterms:modified>
</cp:coreProperties>
</file>