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jc w:val="left"/>
      </w:pPr>
      <w:r>
        <w:drawing>
          <wp:inline distT="0" distB="0" distL="0" distR="0">
            <wp:extent cx="1428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876425"/>
                    </a:xfrm>
                    <a:prstGeom prst="rect">
                      <a:avLst/>
                    </a:prstGeom>
                  </pic:spPr>
                </pic:pic>
              </a:graphicData>
            </a:graphic>
          </wp:inline>
        </w:drawing>
      </w:r>
    </w:p>
    <w:p>
      <w:pPr>
        <w:spacing w:after="120"/>
      </w:pPr>
      <w:r>
        <w:rPr>
          <w:rFonts w:ascii="Calibri" w:cs="Calibri" w:eastAsia="Calibri" w:hAnsi="Calibri"/>
          <w:b/>
          <w:bCs/>
          <w:color w:val="1E4634"/>
          <w:sz w:val="60"/>
          <w:szCs w:val="60"/>
        </w:rPr>
        <w:t xml:space="preserve">ECEWS TalentScreen</w:t>
      </w:r>
    </w:p>
    <w:p>
      <w:pPr>
        <w:spacing w:after="480"/>
      </w:pPr>
      <w:r>
        <w:rPr>
          <w:rFonts w:ascii="Calibri" w:cs="Calibri" w:eastAsia="Calibri" w:hAnsi="Calibri"/>
          <w:color w:val="316C4E"/>
          <w:sz w:val="30"/>
          <w:szCs w:val="30"/>
        </w:rPr>
        <w:t xml:space="preserve">AI-assisted recruitment and shortlisting system — system design</w:t>
      </w:r>
    </w:p>
    <w:p>
      <w:pPr>
        <w:pBdr>
          <w:bottom w:val="single" w:color="B53043" w:sz="8" w:space="6"/>
        </w:pBd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c>
          <w:tcPr>
            <w:tcW w:type="dxa" w:w="6939"/>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Detail</w:t>
            </w:r>
          </w:p>
        </w:tc>
      </w:tr>
      <w:tr>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Organisation</w:t>
            </w:r>
          </w:p>
        </w:tc>
        <w:tc>
          <w:tcPr>
            <w:tcW w:type="dxa" w:w="693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Excellence Community Education Welfare Scheme (ECEWS)</w:t>
            </w:r>
          </w:p>
        </w:tc>
      </w:tr>
      <w:tr>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Document</w:t>
            </w:r>
          </w:p>
        </w:tc>
        <w:tc>
          <w:tcPr>
            <w:tcW w:type="dxa" w:w="693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System design and architecture, version 1.0</w:t>
            </w:r>
          </w:p>
        </w:tc>
      </w:tr>
      <w:tr>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Prepared for</w:t>
            </w:r>
          </w:p>
        </w:tc>
        <w:tc>
          <w:tcPr>
            <w:tcW w:type="dxa" w:w="693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Olanrewaju (Lanre) Agunloye, Senior IT Officer, ACE-5 Programme</w:t>
            </w:r>
          </w:p>
        </w:tc>
      </w:tr>
      <w:tr>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Date</w:t>
            </w:r>
          </w:p>
        </w:tc>
        <w:tc>
          <w:tcPr>
            <w:tcW w:type="dxa" w:w="693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 October 2026</w:t>
            </w:r>
          </w:p>
        </w:tc>
      </w:tr>
      <w:tr>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Codebase</w:t>
            </w:r>
          </w:p>
        </w:tc>
        <w:tc>
          <w:tcPr>
            <w:tcW w:type="dxa" w:w="693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ecews-talentscreen (NestJS API + worker, React web, PostgreSQL, Docker / Kubernetes)</w:t>
            </w:r>
          </w:p>
        </w:tc>
      </w:tr>
      <w:tr>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Status</w:t>
            </w:r>
          </w:p>
        </w:tc>
        <w:tc>
          <w:tcPr>
            <w:tcW w:type="dxa" w:w="693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Implemented and tested end to end outside Docker; Docker images to be built on first deployment</w:t>
            </w:r>
          </w:p>
        </w:tc>
      </w:tr>
    </w:tbl>
    <w:p>
      <w:pPr>
        <w:spacing w:after="120"/>
      </w:pPr>
    </w:p>
    <w:p>
      <w:pPr>
        <w:pBdr>
          <w:left w:val="single" w:color="B53043" w:sz="18" w:space="10"/>
        </w:pBdr>
        <w:shd w:fill="F8E6E9" w:color="auto" w:val="clear"/>
        <w:spacing w:after="200" w:before="120" w:line="276"/>
        <w:ind w:left="240"/>
      </w:pPr>
      <w:r>
        <w:rPr>
          <w:rFonts w:ascii="Calibri" w:cs="Calibri" w:eastAsia="Calibri" w:hAnsi="Calibri"/>
          <w:b/>
          <w:bCs/>
        </w:rPr>
        <w:t xml:space="preserve">Guiding principle.</w:t>
      </w:r>
      <w:r>
        <w:rPr>
          <w:rFonts w:ascii="Calibri" w:cs="Calibri" w:eastAsia="Calibri" w:hAnsi="Calibri"/>
        </w:rPr>
        <w:t xml:space="preserve"> TalentScreen is a decision-support system. It never makes a hiring decision. Every recommendation is evidence-based, explainable and reviewed by authorised ECEWS staff, and every human override is recorded with its reason.</w:t>
      </w:r>
    </w:p>
    <w:p>
      <w:pPr>
        <w:sectPr>
          <w:pgSz w:w="11906" w:h="16838" w:orient="portrait"/>
          <w:pgMar w:top="1134" w:right="1134" w:bottom="1134" w:left="1134" w:header="708" w:footer="708" w:gutter="0"/>
          <w:pgNumType/>
          <w:docGrid w:linePitch="360"/>
        </w:sectPr>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rPr>
          <w:i/>
          <w:iCs/>
          <w:color w:val="5B6A62"/>
          <w:sz w:val="18"/>
          <w:szCs w:val="18"/>
        </w:rPr>
      </w:pPr>
      <w:r>
        <w:rPr>
          <w:rFonts w:ascii="Calibri" w:cs="Calibri" w:eastAsia="Calibri" w:hAnsi="Calibri"/>
          <w:i/>
          <w:iCs/>
          <w:color w:val="5B6A62"/>
          <w:sz w:val="18"/>
          <w:szCs w:val="18"/>
        </w:rPr>
        <w:t xml:space="preserve">Right-click the table and choose Update Field if page numbers are missing.</w:t>
      </w:r>
    </w:p>
    <w:p>
      <w:pPr>
        <w:pStyle w:val="Heading1"/>
        <w:pageBreakBefore/>
      </w:pPr>
      <w:r>
        <w:t xml:space="preserve">1. Purpose and scope</w:t>
      </w:r>
    </w:p>
    <w:p>
      <w:pPr>
        <w:spacing w:after="120" w:line="288"/>
      </w:pPr>
      <w:r>
        <w:rPr>
          <w:rFonts w:ascii="Calibri" w:cs="Calibri" w:eastAsia="Calibri" w:hAnsi="Calibri"/>
        </w:rPr>
        <w:t xml:space="preserve">TalentScreen screens job applicants objectively and consistently against hiring criteria that HR and hiring managers define per vacancy. It parses CVs, matches them to mandatory and preferred requirements, computes a weighted score, recommends Shortlist, Consider, Hold or Reject, ranks the pool and explains each result with quoted evidence from the CV.</w:t>
      </w:r>
    </w:p>
    <w:p>
      <w:pPr>
        <w:spacing w:after="120" w:line="288"/>
      </w:pPr>
      <w:r>
        <w:rPr>
          <w:rFonts w:ascii="Calibri" w:cs="Calibri" w:eastAsia="Calibri" w:hAnsi="Calibri"/>
        </w:rPr>
        <w:t xml:space="preserve">The system covers the full recruitment loop that follows a CV:</w:t>
      </w:r>
    </w:p>
    <w:p>
      <w:pPr>
        <w:pStyle w:val="ListParagraph"/>
        <w:numPr>
          <w:ilvl w:val="0"/>
          <w:numId w:val="2"/>
        </w:numPr>
        <w:spacing w:after="60" w:line="276"/>
      </w:pPr>
      <w:r>
        <w:rPr>
          <w:rFonts w:ascii="Calibri" w:cs="Calibri" w:eastAsia="Calibri" w:hAnsi="Calibri"/>
        </w:rPr>
        <w:t xml:space="preserve">Vacancy creation, hiring requests raised by managers and approval by HR.</w:t>
      </w:r>
    </w:p>
    <w:p>
      <w:pPr>
        <w:pStyle w:val="ListParagraph"/>
        <w:numPr>
          <w:ilvl w:val="0"/>
          <w:numId w:val="2"/>
        </w:numPr>
        <w:spacing w:after="60" w:line="276"/>
      </w:pPr>
      <w:r>
        <w:rPr>
          <w:rFonts w:ascii="Calibri" w:cs="Calibri" w:eastAsia="Calibri" w:hAnsi="Calibri"/>
        </w:rPr>
        <w:t xml:space="preserve">Single and bulk CV upload (PDF, DOCX, TXT) with automatic evaluation.</w:t>
      </w:r>
    </w:p>
    <w:p>
      <w:pPr>
        <w:pStyle w:val="ListParagraph"/>
        <w:numPr>
          <w:ilvl w:val="0"/>
          <w:numId w:val="2"/>
        </w:numPr>
        <w:spacing w:after="60" w:line="276"/>
      </w:pPr>
      <w:r>
        <w:rPr>
          <w:rFonts w:ascii="Calibri" w:cs="Calibri" w:eastAsia="Calibri" w:hAnsi="Calibri"/>
        </w:rPr>
        <w:t xml:space="preserve">Ranking, shortlisting, side-by-side comparison and human override.</w:t>
      </w:r>
    </w:p>
    <w:p>
      <w:pPr>
        <w:pStyle w:val="ListParagraph"/>
        <w:numPr>
          <w:ilvl w:val="0"/>
          <w:numId w:val="2"/>
        </w:numPr>
        <w:spacing w:after="60" w:line="276"/>
      </w:pPr>
      <w:r>
        <w:rPr>
          <w:rFonts w:ascii="Calibri" w:cs="Calibri" w:eastAsia="Calibri" w:hAnsi="Calibri"/>
        </w:rPr>
        <w:t xml:space="preserve">Interview scheduling, panel scoring and hiring recommendations.</w:t>
      </w:r>
    </w:p>
    <w:p>
      <w:pPr>
        <w:pStyle w:val="ListParagraph"/>
        <w:numPr>
          <w:ilvl w:val="0"/>
          <w:numId w:val="2"/>
        </w:numPr>
        <w:spacing w:after="60" w:line="276"/>
      </w:pPr>
      <w:r>
        <w:rPr>
          <w:rFonts w:ascii="Calibri" w:cs="Calibri" w:eastAsia="Calibri" w:hAnsi="Calibri"/>
        </w:rPr>
        <w:t xml:space="preserve">Reports with PDF, Excel and CSV export; audit logs; notifications.</w:t>
      </w:r>
    </w:p>
    <w:p>
      <w:pPr>
        <w:pStyle w:val="ListParagraph"/>
        <w:numPr>
          <w:ilvl w:val="0"/>
          <w:numId w:val="2"/>
        </w:numPr>
        <w:spacing w:after="60" w:line="276"/>
      </w:pPr>
      <w:r>
        <w:rPr>
          <w:rFonts w:ascii="Calibri" w:cs="Calibri" w:eastAsia="Calibri" w:hAnsi="Calibri"/>
        </w:rPr>
        <w:t xml:space="preserve">User, role and permission management with fine-grained, editable RBAC.</w:t>
      </w:r>
    </w:p>
    <w:p>
      <w:pPr>
        <w:pStyle w:val="Heading2"/>
      </w:pPr>
      <w:r>
        <w:t xml:space="preserve">1.1 Design decisions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5397"/>
      </w:tblGrid>
      <w:tr>
        <w:trPr>
          <w:tblHeader/>
        </w:trPr>
        <w:tc>
          <w:tcPr>
            <w:tcW w:type="dxa" w:w="1542"/>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Decision</w:t>
            </w:r>
          </w:p>
        </w:tc>
        <w:tc>
          <w:tcPr>
            <w:tcW w:type="dxa" w:w="2699"/>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Choice</w:t>
            </w:r>
          </w:p>
        </w:tc>
        <w:tc>
          <w:tcPr>
            <w:tcW w:type="dxa" w:w="539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Why</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Backend</w:t>
            </w:r>
          </w:p>
        </w:tc>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NestJS (Node.js 22, TypeScript)</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Listed in the specification; modular, typed, testable; one image serves API, worker and migrations.</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Frontend</w:t>
            </w:r>
          </w:p>
        </w:tc>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React 18 + Vite, served by nginx</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Listed in the specification; small bundle (77 kB gzipped); nginx also proxies /api and sets security headers.</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Database</w:t>
            </w:r>
          </w:p>
        </w:tc>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PostgreSQL 16</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Listed; JSONB for requirements and evaluations; triggers make the audit log append-only; also hosts the job queue.</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Job queue</w:t>
            </w:r>
          </w:p>
        </w:tc>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pg-boss on PostgreSQL</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Durable retries without a separate broker. Replaceable by Azure Service Bus behind one class.</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File storage</w:t>
            </w:r>
          </w:p>
        </w:tc>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MinIO / S3 / Azure Blob / local</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Pluggable driver; files are encrypted by the application before they reach any backend.</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Search</w:t>
            </w:r>
          </w:p>
        </w:tc>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PostgreSQL trigram + full-text</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Covers candidate and skill search at ECEWS volumes without running Elasticsearch (see section 11).</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AI engine</w:t>
            </w:r>
          </w:p>
        </w:tc>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Rules engine always; Azure OpenAI or OpenAI optional</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Scores stay deterministic and explainable; the model only checks evidence the rules could not find, and every claim must quote the CV.</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Authentication</w:t>
            </w:r>
          </w:p>
        </w:tc>
        <w:tc>
          <w:tcPr>
            <w:tcW w:type="dxa" w:w="269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Local accounts + Microsoft Entra ID (OIDC)</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Entra app roles map directly to TalentScreen roles; JWT access tokens with rotating refresh tokens.</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Deployment</w:t>
            </w:r>
          </w:p>
        </w:tc>
        <w:tc>
          <w:tcPr>
            <w:tcW w:type="dxa" w:w="269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Docker Compose; Kubernetes (AKS) manifests; GitHub Actions</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Single-host Docker for a first deployment, AKS reference for scale-out.</w:t>
            </w:r>
          </w:p>
        </w:tc>
      </w:tr>
    </w:tbl>
    <w:p>
      <w:pPr>
        <w:pStyle w:val="Heading1"/>
        <w:pageBreakBefore/>
      </w:pPr>
      <w:r>
        <w:t xml:space="preserve">2. Architecture</w:t>
      </w:r>
    </w:p>
    <w:p>
      <w:pPr>
        <w:spacing w:after="120" w:line="288"/>
      </w:pPr>
      <w:r>
        <w:rPr>
          <w:rFonts w:ascii="Calibri" w:cs="Calibri" w:eastAsia="Calibri" w:hAnsi="Calibri"/>
        </w:rPr>
        <w:t xml:space="preserve">TalentScreen is a three-tier, container-based system. The browser talks only to the web container, which serves the React application and forwards /api requests to the API. The API and the background worker are the same image run with different commands, so they share one codebase and one set of migrations. All state lives in PostgreSQL and object storage, so every application container is stateless and can be scaled horizontally.</w:t>
      </w:r>
    </w:p>
    <w:p>
      <w:pPr>
        <w:spacing w:after="60" w:before="120"/>
        <w:jc w:val="center"/>
      </w:pPr>
      <w:r>
        <w:drawing>
          <wp:inline distT="0" distB="0" distL="0" distR="0">
            <wp:extent cx="6096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71750"/>
                    </a:xfrm>
                    <a:prstGeom prst="rect">
                      <a:avLst/>
                    </a:prstGeom>
                  </pic:spPr>
                </pic:pic>
              </a:graphicData>
            </a:graphic>
          </wp:inline>
        </w:drawing>
      </w:r>
    </w:p>
    <w:p>
      <w:pPr>
        <w:spacing w:after="240"/>
        <w:jc w:val="center"/>
      </w:pPr>
      <w:r>
        <w:rPr>
          <w:rFonts w:ascii="Calibri" w:cs="Calibri" w:eastAsia="Calibri" w:hAnsi="Calibri"/>
          <w:i/>
          <w:iCs/>
          <w:color w:val="5B6A62"/>
          <w:sz w:val="18"/>
          <w:szCs w:val="18"/>
        </w:rPr>
        <w:t xml:space="preserve">Figure 1. Containers, data stores and external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397"/>
        <w:gridCol w:w="2506"/>
      </w:tblGrid>
      <w:tr>
        <w:trPr>
          <w:tblHeader/>
        </w:trPr>
        <w:tc>
          <w:tcPr>
            <w:tcW w:type="dxa" w:w="1735"/>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Component</w:t>
            </w:r>
          </w:p>
        </w:tc>
        <w:tc>
          <w:tcPr>
            <w:tcW w:type="dxa" w:w="539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Responsibility</w:t>
            </w:r>
          </w:p>
        </w:tc>
        <w:tc>
          <w:tcPr>
            <w:tcW w:type="dxa" w:w="2506"/>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Scaling</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web (nginx)</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Serves the SPA; reverse-proxies /api; CSP, frame, referrer and content-type headers; 60 MB upload limit</w:t>
            </w:r>
          </w:p>
        </w:tc>
        <w:tc>
          <w:tcPr>
            <w:tcW w:type="dxa" w:w="250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Stateless; any number of replicas</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(NestJS)</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REST endpoints, authentication, RBAC guard, row-level scoping, CV ingestion, exports, audit</w:t>
            </w:r>
          </w:p>
        </w:tc>
        <w:tc>
          <w:tcPr>
            <w:tcW w:type="dxa" w:w="250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Stateless; 2+ replicas behind the Service</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worker</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Consumes evaluation jobs; recovers stuck jobs every 5 minutes; nightly retention sweep at 02:30 WAT</w:t>
            </w:r>
          </w:p>
        </w:tc>
        <w:tc>
          <w:tcPr>
            <w:tcW w:type="dxa" w:w="250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Horizontal (pg-boss gives each job to one worker); HPA on CPU</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migrate</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Applies SQL migrations under an advisory lock; seeds permissions, roles, departments, defaults; creates first admin</w:t>
            </w:r>
          </w:p>
        </w:tc>
        <w:tc>
          <w:tcPr>
            <w:tcW w:type="dxa" w:w="250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One-shot per release</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PostgreSQL</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All relational data, JSONB documents, job queue, audit chain</w:t>
            </w:r>
          </w:p>
        </w:tc>
        <w:tc>
          <w:tcPr>
            <w:tcW w:type="dxa" w:w="250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Managed service in production (Azure Database for PostgreSQL Flexible Server)</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Object storage</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Original CV files, encrypted with AES-256-GCM before upload</w:t>
            </w:r>
          </w:p>
        </w:tc>
        <w:tc>
          <w:tcPr>
            <w:tcW w:type="dxa" w:w="250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MinIO in Compose; Azure Blob or S3 in production</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AI provider</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Optional evidence check and short narrative</w:t>
            </w:r>
          </w:p>
        </w:tc>
        <w:tc>
          <w:tcPr>
            <w:tcW w:type="dxa" w:w="250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External; called only from the worker</w:t>
            </w:r>
          </w:p>
        </w:tc>
      </w:tr>
    </w:tbl>
    <w:p>
      <w:pPr>
        <w:pStyle w:val="Heading2"/>
      </w:pPr>
      <w:r>
        <w:t xml:space="preserve">2.1 Request flow</w:t>
      </w:r>
    </w:p>
    <w:p>
      <w:pPr>
        <w:pStyle w:val="ListParagraph"/>
        <w:numPr>
          <w:ilvl w:val="0"/>
          <w:numId w:val="3"/>
        </w:numPr>
        <w:spacing w:after="60" w:line="276"/>
      </w:pPr>
      <w:r>
        <w:rPr>
          <w:rFonts w:ascii="Calibri" w:cs="Calibri" w:eastAsia="Calibri" w:hAnsi="Calibri"/>
        </w:rPr>
        <w:t xml:space="preserve">The user signs in with a password or through Microsoft Entra ID. The API returns a 15-minute access token (kept in memory, never in browser storage) and sets a rotating refresh token in an httpOnly, SameSite=Strict cookie scoped to /api/auth.</w:t>
      </w:r>
    </w:p>
    <w:p>
      <w:pPr>
        <w:pStyle w:val="ListParagraph"/>
        <w:numPr>
          <w:ilvl w:val="0"/>
          <w:numId w:val="3"/>
        </w:numPr>
        <w:spacing w:after="60" w:line="276"/>
      </w:pPr>
      <w:r>
        <w:rPr>
          <w:rFonts w:ascii="Calibri" w:cs="Calibri" w:eastAsia="Calibri" w:hAnsi="Calibri"/>
        </w:rPr>
        <w:t xml:space="preserve">Every request passes the global guard: it validates the token, reloads the user's role and permissions from the database (so suspensions and role changes take effect immediately) and enforces the route's permission.</w:t>
      </w:r>
    </w:p>
    <w:p>
      <w:pPr>
        <w:pStyle w:val="ListParagraph"/>
        <w:numPr>
          <w:ilvl w:val="0"/>
          <w:numId w:val="3"/>
        </w:numPr>
        <w:spacing w:after="60" w:line="276"/>
      </w:pPr>
      <w:r>
        <w:rPr>
          <w:rFonts w:ascii="Calibri" w:cs="Calibri" w:eastAsia="Calibri" w:hAnsi="Calibri"/>
        </w:rPr>
        <w:t xml:space="preserve">Queries add a row-level scope: assigned vacancies for recruiters and hiring managers, assigned candidates for panel members, aggregates only for viewers.</w:t>
      </w:r>
    </w:p>
    <w:p>
      <w:pPr>
        <w:pStyle w:val="ListParagraph"/>
        <w:numPr>
          <w:ilvl w:val="0"/>
          <w:numId w:val="3"/>
        </w:numPr>
        <w:spacing w:after="60" w:line="276"/>
      </w:pPr>
      <w:r>
        <w:rPr>
          <w:rFonts w:ascii="Calibri" w:cs="Calibri" w:eastAsia="Calibri" w:hAnsi="Calibri"/>
        </w:rPr>
        <w:t xml:space="preserve">An upload is validated, text-extracted, de-duplicated, encrypted, stored and queued in one transaction; the worker evaluates it within seconds and notifies the uploader and the vacancy team when a batch finishes.</w:t>
      </w:r>
    </w:p>
    <w:p>
      <w:pPr>
        <w:pStyle w:val="Heading1"/>
        <w:pageBreakBefore/>
      </w:pPr>
      <w:r>
        <w:t xml:space="preserve">3. Evaluation engine</w:t>
      </w:r>
    </w:p>
    <w:p>
      <w:pPr>
        <w:spacing w:after="120" w:line="288"/>
      </w:pPr>
      <w:r>
        <w:rPr>
          <w:rFonts w:ascii="Calibri" w:cs="Calibri" w:eastAsia="Calibri" w:hAnsi="Calibri"/>
        </w:rPr>
        <w:t xml:space="preserve">The engine turns a CV and a vacancy into a score, a recommendation and an explanation. It is built so that every number on screen can be traced back to a line in the CV and a configured weight.</w:t>
      </w:r>
    </w:p>
    <w:p>
      <w:pPr>
        <w:spacing w:after="60" w:before="120"/>
        <w:jc w:val="center"/>
      </w:pPr>
      <w:r>
        <w:drawing>
          <wp:inline distT="0" distB="0" distL="0" distR="0">
            <wp:extent cx="6096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14550"/>
                    </a:xfrm>
                    <a:prstGeom prst="rect">
                      <a:avLst/>
                    </a:prstGeom>
                  </pic:spPr>
                </pic:pic>
              </a:graphicData>
            </a:graphic>
          </wp:inline>
        </w:drawing>
      </w:r>
    </w:p>
    <w:p>
      <w:pPr>
        <w:spacing w:after="240"/>
        <w:jc w:val="center"/>
      </w:pPr>
      <w:r>
        <w:rPr>
          <w:rFonts w:ascii="Calibri" w:cs="Calibri" w:eastAsia="Calibri" w:hAnsi="Calibri"/>
          <w:i/>
          <w:iCs/>
          <w:color w:val="5B6A62"/>
          <w:sz w:val="18"/>
          <w:szCs w:val="18"/>
        </w:rPr>
        <w:t xml:space="preserve">Figure 2. Evaluation pipeline</w:t>
      </w:r>
    </w:p>
    <w:p>
      <w:pPr>
        <w:pStyle w:val="Heading2"/>
      </w:pPr>
      <w:r>
        <w:t xml:space="preserve">3.1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241"/>
        <w:gridCol w:w="4048"/>
      </w:tblGrid>
      <w:tr>
        <w:trPr>
          <w:tblHeader/>
        </w:trPr>
        <w:tc>
          <w:tcPr>
            <w:tcW w:type="dxa" w:w="1349"/>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Stage</w:t>
            </w:r>
          </w:p>
        </w:tc>
        <w:tc>
          <w:tcPr>
            <w:tcW w:type="dxa" w:w="424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happens</w:t>
            </w:r>
          </w:p>
        </w:tc>
        <w:tc>
          <w:tcPr>
            <w:tcW w:type="dxa" w:w="404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Safeguards</w:t>
            </w:r>
          </w:p>
        </w:tc>
      </w:tr>
      <w:tr>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1 Extract</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pdf.js (PDF), mammoth (DOCX) or UTF-8 (TXT); whitespace normalised</w:t>
            </w:r>
          </w:p>
        </w:tc>
        <w:tc>
          <w:tcPr>
            <w:tcW w:type="dxa" w:w="404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Type checked by file signature, not the browser's claim; image-only PDFs rejected with an OCR hint; 10 MB per file, 50 files per batch</w:t>
            </w:r>
          </w:p>
        </w:tc>
      </w:tr>
      <w:tr>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Store</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Original file and extracted text encrypted (AES-256-GCM); contact details encrypted; SHA-256 of the file stored</w:t>
            </w:r>
          </w:p>
        </w:tc>
        <w:tc>
          <w:tcPr>
            <w:tcW w:type="dxa" w:w="404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Duplicate CVs on the same vacancy are refused</w:t>
            </w:r>
          </w:p>
        </w:tc>
      </w:tr>
      <w:tr>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2 Parse</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Name, contacts, sections, roles with dates (month names, numeric months, “Present”), education level, certifications, skills, languages, memberships, awards, publications, projects</w:t>
            </w:r>
          </w:p>
        </w:tc>
        <w:tc>
          <w:tcPr>
            <w:tcW w:type="dxa" w:w="404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Overlapping jobs merged so experience is never double-counted; unreadable dates flagged as a gap</w:t>
            </w:r>
          </w:p>
        </w:tc>
      </w:tr>
      <w:tr>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 Match</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Each requirement expanded through a synonym dictionary (e.g. “Entra ID” = “Azure AD”; “AZ-104” = “Azure Administrator”) and searched with word-boundary rules</w:t>
            </w:r>
          </w:p>
        </w:tc>
        <w:tc>
          <w:tcPr>
            <w:tcW w:type="dxa" w:w="404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The matching CV line is kept as evidence; short terms must match whole words (“LAN” never matches “language”)</w:t>
            </w:r>
          </w:p>
        </w:tc>
      </w:tr>
      <w:tr>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4 RAG + LLM (optional)</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For requirements still unmet, the top three CV passages are retrieved by BM25 and sent with the requirement to Azure OpenAI or OpenAI</w:t>
            </w:r>
          </w:p>
        </w:tc>
        <w:tc>
          <w:tcPr>
            <w:tcW w:type="dxa" w:w="404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Name, email, phone and LinkedIn removed first; model must quote verbatim; quote must exist in a passage retrieved for that requirement; failures discarded and stored for audit; AI matches labelled amber and flagged “confirm”</w:t>
            </w:r>
          </w:p>
        </w:tc>
      </w:tr>
      <w:tr>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 Score</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Six component scores combined with the configured weights</w:t>
            </w:r>
          </w:p>
        </w:tc>
        <w:tc>
          <w:tcPr>
            <w:tcW w:type="dxa" w:w="404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Always computed in code, never by the model</w:t>
            </w:r>
          </w:p>
        </w:tc>
      </w:tr>
      <w:tr>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6 Recommend</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Hard rules, then thresholds</w:t>
            </w:r>
          </w:p>
        </w:tc>
        <w:tc>
          <w:tcPr>
            <w:tcW w:type="dxa" w:w="404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Rules and thresholds configurable; every rule failure stated in plain words</w:t>
            </w:r>
          </w:p>
        </w:tc>
      </w:tr>
      <w:tr>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 Explain</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Strengths with quoted evidence, gaps, justification, optional narrative</w:t>
            </w:r>
          </w:p>
        </w:tc>
        <w:tc>
          <w:tcPr>
            <w:tcW w:type="dxa" w:w="404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Narrative is written only from the computed facts; it cannot add claims</w:t>
            </w:r>
          </w:p>
        </w:tc>
      </w:tr>
    </w:tbl>
    <w:p>
      <w:pPr>
        <w:pStyle w:val="Heading2"/>
      </w:pPr>
      <w:r>
        <w:t xml:space="preserve">3.2 Scoring model</w:t>
      </w:r>
    </w:p>
    <w:p>
      <w:pPr>
        <w:spacing w:after="120" w:line="288"/>
      </w:pPr>
      <w:r>
        <w:rPr>
          <w:rFonts w:ascii="Calibri" w:cs="Calibri" w:eastAsia="Calibri" w:hAnsi="Calibri"/>
        </w:rPr>
        <w:t xml:space="preserve">Overall score = Σ (component score × weight) ÷ Σ weights, rounded. Default weights follow the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349"/>
        <w:gridCol w:w="6361"/>
      </w:tblGrid>
      <w:tr>
        <w:trPr>
          <w:tblHeader/>
        </w:trPr>
        <w:tc>
          <w:tcPr>
            <w:tcW w:type="dxa" w:w="192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Component</w:t>
            </w:r>
          </w:p>
        </w:tc>
        <w:tc>
          <w:tcPr>
            <w:tcW w:type="dxa" w:w="1349"/>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Default weight</w:t>
            </w:r>
          </w:p>
        </w:tc>
        <w:tc>
          <w:tcPr>
            <w:tcW w:type="dxa" w:w="636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How the component score (0–100) is computed</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Qualifications</w:t>
            </w:r>
          </w:p>
        </w:tc>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20%</w:t>
            </w:r>
          </w:p>
        </w:tc>
        <w:tc>
          <w:tcPr>
            <w:tcW w:type="dxa" w:w="63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70 if the highest level meets the minimum, +30 if the field of study matches; below the minimum scales proportionally; +10 for any preferred qualification found</w:t>
            </w:r>
          </w:p>
        </w:tc>
      </w:tr>
      <w:tr>
        <w:tc>
          <w:tcPr>
            <w:tcW w:type="dxa" w:w="192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Technical skills</w:t>
            </w:r>
          </w:p>
        </w:tc>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30%</w:t>
            </w:r>
          </w:p>
        </w:tc>
        <w:tc>
          <w:tcPr>
            <w:tcW w:type="dxa" w:w="63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Share of required technical skills with evidence</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Relevant experience</w:t>
            </w:r>
          </w:p>
        </w:tc>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30%</w:t>
            </w:r>
          </w:p>
        </w:tc>
        <w:tc>
          <w:tcPr>
            <w:tcW w:type="dxa" w:w="63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100 at or above preferred years; 70–100 between minimum and preferred; proportional below the minimum. “Relevant” = roles that mention two or more of the vacancy's skills or share a title keyword (configurable to total experience)</w:t>
            </w:r>
          </w:p>
        </w:tc>
      </w:tr>
      <w:tr>
        <w:tc>
          <w:tcPr>
            <w:tcW w:type="dxa" w:w="192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Certifications</w:t>
            </w:r>
          </w:p>
        </w:tc>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10%</w:t>
            </w:r>
          </w:p>
        </w:tc>
        <w:tc>
          <w:tcPr>
            <w:tcW w:type="dxa" w:w="63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Share of required certifications evidenced (100 if none required)</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Preferred skills</w:t>
            </w:r>
          </w:p>
        </w:tc>
        <w:tc>
          <w:tcPr>
            <w:tcW w:type="dxa" w:w="1349"/>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63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Share of soft skills, preferred skills, industry experience and nice-to-haves evidenced</w:t>
            </w:r>
          </w:p>
        </w:tc>
      </w:tr>
      <w:tr>
        <w:tc>
          <w:tcPr>
            <w:tcW w:type="dxa" w:w="192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Career progression</w:t>
            </w:r>
          </w:p>
        </w:tc>
        <w:tc>
          <w:tcPr>
            <w:tcW w:type="dxa" w:w="1349"/>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63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Seniority of latest role versus first role, plus average tenure (stability)</w:t>
            </w:r>
          </w:p>
        </w:tc>
      </w:tr>
    </w:tbl>
    <w:p>
      <w:pPr>
        <w:pStyle w:val="Heading2"/>
      </w:pPr>
      <w:r>
        <w:t xml:space="preserve">3.3 Recommendation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747"/>
        <w:gridCol w:w="1927"/>
      </w:tblGrid>
      <w:tr>
        <w:trPr>
          <w:tblHeader/>
        </w:trPr>
        <w:tc>
          <w:tcPr>
            <w:tcW w:type="dxa" w:w="964"/>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Order</w:t>
            </w:r>
          </w:p>
        </w:tc>
        <w:tc>
          <w:tcPr>
            <w:tcW w:type="dxa" w:w="674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Rule</w:t>
            </w:r>
          </w:p>
        </w:tc>
        <w:tc>
          <w:tcPr>
            <w:tcW w:type="dxa" w:w="192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Default</w:t>
            </w:r>
          </w:p>
        </w:tc>
      </w:tr>
      <w:tr>
        <w:tc>
          <w:tcPr>
            <w:tcW w:type="dxa" w:w="964"/>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1</w:t>
            </w:r>
          </w:p>
        </w:tc>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Any mandatory requirement without evidence → Reject (reason stated)</w:t>
            </w:r>
          </w:p>
        </w:tc>
        <w:tc>
          <w:tcPr>
            <w:tcW w:type="dxa" w:w="192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On</w:t>
            </w:r>
          </w:p>
        </w:tc>
      </w:tr>
      <w:tr>
        <w:tc>
          <w:tcPr>
            <w:tcW w:type="dxa" w:w="964"/>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w:t>
            </w:r>
          </w:p>
        </w:tc>
        <w:tc>
          <w:tcPr>
            <w:tcW w:type="dxa" w:w="674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Relevant experience below the vacancy minimum → Reject (reason stated)</w:t>
            </w:r>
          </w:p>
        </w:tc>
        <w:tc>
          <w:tcPr>
            <w:tcW w:type="dxa" w:w="192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w:t>
            </w:r>
          </w:p>
        </w:tc>
      </w:tr>
      <w:tr>
        <w:tc>
          <w:tcPr>
            <w:tcW w:type="dxa" w:w="964"/>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3</w:t>
            </w:r>
          </w:p>
        </w:tc>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Score ≥ Shortlist threshold → Shortlist</w:t>
            </w:r>
          </w:p>
        </w:tc>
        <w:tc>
          <w:tcPr>
            <w:tcW w:type="dxa" w:w="192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85</w:t>
            </w:r>
          </w:p>
        </w:tc>
      </w:tr>
      <w:tr>
        <w:tc>
          <w:tcPr>
            <w:tcW w:type="dxa" w:w="964"/>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w:t>
            </w:r>
          </w:p>
        </w:tc>
        <w:tc>
          <w:tcPr>
            <w:tcW w:type="dxa" w:w="674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Score ≥ Consider threshold → Consider</w:t>
            </w:r>
          </w:p>
        </w:tc>
        <w:tc>
          <w:tcPr>
            <w:tcW w:type="dxa" w:w="192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65</w:t>
            </w:r>
          </w:p>
        </w:tc>
      </w:tr>
      <w:tr>
        <w:tc>
          <w:tcPr>
            <w:tcW w:type="dxa" w:w="964"/>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Score ≥ Hold threshold → Hold; otherwise Reject</w:t>
            </w:r>
          </w:p>
        </w:tc>
        <w:tc>
          <w:tcPr>
            <w:tcW w:type="dxa" w:w="192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50</w:t>
            </w:r>
          </w:p>
        </w:tc>
      </w:tr>
    </w:tbl>
    <w:p>
      <w:pPr>
        <w:pBdr>
          <w:left w:val="single" w:color="B53043" w:sz="18" w:space="10"/>
        </w:pBdr>
        <w:shd w:fill="F8E6E9" w:color="auto" w:val="clear"/>
        <w:spacing w:after="200" w:before="120" w:line="276"/>
        <w:ind w:left="240"/>
      </w:pPr>
      <w:r>
        <w:rPr>
          <w:rFonts w:ascii="Calibri" w:cs="Calibri" w:eastAsia="Calibri" w:hAnsi="Calibri"/>
          <w:b/>
          <w:bCs/>
        </w:rPr>
        <w:t xml:space="preserve">Fairness.</w:t>
      </w:r>
      <w:r>
        <w:rPr>
          <w:rFonts w:ascii="Calibri" w:cs="Calibri" w:eastAsia="Calibri" w:hAnsi="Calibri"/>
        </w:rPr>
        <w:t xml:space="preserve"> Name, gender, age, photo, religion, marital status and state of origin are not inputs to any rule. A unit test adds these attributes to a CV and asserts the score is unchanged. With AI enabled, the candidate's name and contact details are removed before any text leaves the server.</w:t>
      </w:r>
    </w:p>
    <w:p>
      <w:pPr>
        <w:pStyle w:val="Heading2"/>
      </w:pPr>
      <w:r>
        <w:t xml:space="preserve">3.4 Worked example (demo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867"/>
        <w:gridCol w:w="1446"/>
        <w:gridCol w:w="5397"/>
      </w:tblGrid>
      <w:tr>
        <w:trPr>
          <w:tblHeader/>
        </w:trPr>
        <w:tc>
          <w:tcPr>
            <w:tcW w:type="dxa" w:w="192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Candidate</w:t>
            </w:r>
          </w:p>
        </w:tc>
        <w:tc>
          <w:tcPr>
            <w:tcW w:type="dxa" w:w="86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Score</w:t>
            </w:r>
          </w:p>
        </w:tc>
        <w:tc>
          <w:tcPr>
            <w:tcW w:type="dxa" w:w="1446"/>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Recommendation</w:t>
            </w:r>
          </w:p>
        </w:tc>
        <w:tc>
          <w:tcPr>
            <w:tcW w:type="dxa" w:w="539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Why</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Chidinma Okafor</w:t>
            </w:r>
          </w:p>
        </w:tc>
        <w:tc>
          <w:tcPr>
            <w:tcW w:type="dxa" w:w="86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97</w:t>
            </w:r>
          </w:p>
        </w:tc>
        <w:tc>
          <w:tcPr>
            <w:tcW w:type="dxa" w:w="144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Shortlist</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All 8 required skills evidenced, 3 of 4 certifications, 10.4 years relevant experience, Master's in a relevant field</w:t>
            </w:r>
          </w:p>
        </w:tc>
      </w:tr>
      <w:tr>
        <w:tc>
          <w:tcPr>
            <w:tcW w:type="dxa" w:w="192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Adaeze Nnamdi</w:t>
            </w:r>
          </w:p>
        </w:tc>
        <w:tc>
          <w:tcPr>
            <w:tcW w:type="dxa" w:w="86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88</w:t>
            </w:r>
          </w:p>
        </w:tc>
        <w:tc>
          <w:tcPr>
            <w:tcW w:type="dxa" w:w="144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Shortlist</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 required skills, AZ-104; missing MS-102, CCNA and ITIL</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Ibrahim Musa</w:t>
            </w:r>
          </w:p>
        </w:tc>
        <w:tc>
          <w:tcPr>
            <w:tcW w:type="dxa" w:w="86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82</w:t>
            </w:r>
          </w:p>
        </w:tc>
        <w:tc>
          <w:tcPr>
            <w:tcW w:type="dxa" w:w="144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Consider</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Strong networking and Azure; no evidence of Intune or Defender</w:t>
            </w:r>
          </w:p>
        </w:tc>
      </w:tr>
      <w:tr>
        <w:tc>
          <w:tcPr>
            <w:tcW w:type="dxa" w:w="192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Grace Udoh</w:t>
            </w:r>
          </w:p>
        </w:tc>
        <w:tc>
          <w:tcPr>
            <w:tcW w:type="dxa" w:w="86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75</w:t>
            </w:r>
          </w:p>
        </w:tc>
        <w:tc>
          <w:tcPr>
            <w:tcW w:type="dxa" w:w="144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Reject</w:t>
            </w:r>
          </w:p>
        </w:tc>
        <w:tc>
          <w:tcPr>
            <w:tcW w:type="dxa" w:w="539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Mandatory requirement “Azure” not evidenced, despite 9.7 years relevant experience; HR may override with a reason</w:t>
            </w:r>
          </w:p>
        </w:tc>
      </w:tr>
      <w:tr>
        <w:tc>
          <w:tcPr>
            <w:tcW w:type="dxa" w:w="192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Tolu Bankole</w:t>
            </w:r>
          </w:p>
        </w:tc>
        <w:tc>
          <w:tcPr>
            <w:tcW w:type="dxa" w:w="86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49</w:t>
            </w:r>
          </w:p>
        </w:tc>
        <w:tc>
          <w:tcPr>
            <w:tcW w:type="dxa" w:w="144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Reject</w:t>
            </w:r>
          </w:p>
        </w:tc>
        <w:tc>
          <w:tcPr>
            <w:tcW w:type="dxa" w:w="539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2.8 years relevant experience against a 5-year minimum; Azure missing</w:t>
            </w:r>
          </w:p>
        </w:tc>
      </w:tr>
    </w:tbl>
    <w:p>
      <w:pPr>
        <w:pStyle w:val="Heading1"/>
        <w:pageBreakBefore/>
      </w:pPr>
      <w:r>
        <w:t xml:space="preserve">4. Data model</w:t>
      </w:r>
    </w:p>
    <w:p>
      <w:pPr>
        <w:spacing w:after="120" w:line="288"/>
      </w:pPr>
      <w:r>
        <w:rPr>
          <w:rFonts w:ascii="Calibri" w:cs="Calibri" w:eastAsia="Calibri" w:hAnsi="Calibri"/>
        </w:rPr>
        <w:t xml:space="preserve">The schema is a single SQL migration (apps/api/migrations/001_init.sql). Requirements, component scores, evidence and profiles are JSONB, so the scoring model can evolve without schema changes. Evaluations are versioned: re-scoring creates a new version and keeps the history.</w:t>
      </w:r>
    </w:p>
    <w:p>
      <w:pPr>
        <w:spacing w:after="60" w:before="12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w:pPr>
        <w:spacing w:after="240"/>
        <w:jc w:val="center"/>
      </w:pPr>
      <w:r>
        <w:rPr>
          <w:rFonts w:ascii="Calibri" w:cs="Calibri" w:eastAsia="Calibri" w:hAnsi="Calibri"/>
          <w:i/>
          <w:iCs/>
          <w:color w:val="5B6A62"/>
          <w:sz w:val="18"/>
          <w:szCs w:val="18"/>
        </w:rPr>
        <w:t xml:space="preserve">Figure 3. Main tables and relationships (crimson headers: evaluation results and the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Table</w:t>
            </w:r>
          </w:p>
        </w:tc>
        <w:tc>
          <w:tcPr>
            <w:tcW w:type="dxa" w:w="289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Purpose</w:t>
            </w:r>
          </w:p>
        </w:tc>
        <w:tc>
          <w:tcPr>
            <w:tcW w:type="dxa" w:w="3856"/>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Notes</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users, roles, permissions, role_permissions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Accounts and fine-grained RBAC</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Permissions catalogue seeded; grants editable at runtime; at least one active Super Administrator enforced</w:t>
            </w:r>
          </w:p>
        </w:tc>
      </w:tr>
      <w:tr>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refresh_tokens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Rotating refresh sessions</w:t>
            </w:r>
          </w:p>
        </w:tc>
        <w:tc>
          <w:tcPr>
            <w:tcW w:type="dxa" w:w="385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Stored as SHA-256 hashes; reuse of a revoked token ends every session for that user</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organisations, departments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Organisational structure</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Seeded with ECEWS and five departments</w:t>
            </w:r>
          </w:p>
        </w:tc>
      </w:tr>
      <w:tr>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jobs, job_assignments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Vacancies, hiring requests, assigned recruiters</w:t>
            </w:r>
          </w:p>
        </w:tc>
        <w:tc>
          <w:tcPr>
            <w:tcW w:type="dxa" w:w="385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Status: requested → open → closed / filled (or rejected)</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candidates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One application per CV per vacancy</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email_enc, phone_enc, cv_text_enc encrypted; erased_at for data-protection erasure</w:t>
            </w:r>
          </w:p>
        </w:tc>
      </w:tr>
      <w:tr>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evaluations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Versioned results</w:t>
            </w:r>
          </w:p>
        </w:tc>
        <w:tc>
          <w:tcPr>
            <w:tcW w:type="dxa" w:w="385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 current version per candidate (partial unique index); requirement_checks keep evidence and source (rules / llm)</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recommendation_overrides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Human decisions on AI recommendations</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Reason of at least 10 characters enforced by a CHECK constraint</w:t>
            </w:r>
          </w:p>
        </w:tc>
      </w:tr>
      <w:tr>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interviews, interview_panelists, interview_scores, hiring_recommendations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Interview loop</w:t>
            </w:r>
          </w:p>
        </w:tc>
        <w:tc>
          <w:tcPr>
            <w:tcW w:type="dxa" w:w="385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 score per panellist per interview</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scoring_profiles, ai_settings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Configuration</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Changed in the app, audited before/after</w:t>
            </w:r>
          </w:p>
        </w:tc>
      </w:tr>
      <w:tr>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notifications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Notification centre</w:t>
            </w:r>
          </w:p>
        </w:tc>
        <w:tc>
          <w:tcPr>
            <w:tcW w:type="dxa" w:w="3856"/>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Optional email copy over SMTP</w:t>
            </w:r>
          </w:p>
        </w:tc>
      </w:tr>
      <w:tr>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audit_logs</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Append-only, hash-chained audit trail</w:t>
            </w:r>
          </w:p>
        </w:tc>
        <w:tc>
          <w:tcPr>
            <w:tcW w:type="dxa" w:w="3856"/>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Triggers reject UPDATE, DELETE and TRUNCATE; each row hashes the previous row</w:t>
            </w:r>
          </w:p>
        </w:tc>
      </w:tr>
    </w:tbl>
    <w:p>
      <w:pPr>
        <w:pStyle w:val="Heading1"/>
        <w:pageBreakBefore/>
      </w:pPr>
      <w:r>
        <w:t xml:space="preserve">5. Role-based access control</w:t>
      </w:r>
    </w:p>
    <w:p>
      <w:pPr>
        <w:spacing w:after="120" w:line="288"/>
      </w:pPr>
      <w:r>
        <w:rPr>
          <w:rFonts w:ascii="Calibri" w:cs="Calibri" w:eastAsia="Calibri" w:hAnsi="Calibri"/>
        </w:rPr>
        <w:t xml:space="preserve">Access is enforced twice: a route-level permission check, then a row-level scope in every query. Permissions are data, not code, so a Super Administrator can add a role (for example “Programme Director”) or adjust a grant on the Roles &amp; permissions screen. Changes apply on the user's next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060"/>
        <w:gridCol w:w="1060"/>
        <w:gridCol w:w="1060"/>
        <w:gridCol w:w="1060"/>
        <w:gridCol w:w="1060"/>
        <w:gridCol w:w="1061"/>
      </w:tblGrid>
      <w:tr>
        <w:trPr>
          <w:tblHeader/>
        </w:trPr>
        <w:tc>
          <w:tcPr>
            <w:tcW w:type="dxa" w:w="327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Permission</w:t>
            </w:r>
          </w:p>
        </w:tc>
        <w:tc>
          <w:tcPr>
            <w:tcW w:type="dxa" w:w="106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Super Admin</w:t>
            </w:r>
          </w:p>
        </w:tc>
        <w:tc>
          <w:tcPr>
            <w:tcW w:type="dxa" w:w="106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HR Admin</w:t>
            </w:r>
          </w:p>
        </w:tc>
        <w:tc>
          <w:tcPr>
            <w:tcW w:type="dxa" w:w="106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Hiring Mgr</w:t>
            </w:r>
          </w:p>
        </w:tc>
        <w:tc>
          <w:tcPr>
            <w:tcW w:type="dxa" w:w="106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Recruiter</w:t>
            </w:r>
          </w:p>
        </w:tc>
        <w:tc>
          <w:tcPr>
            <w:tcW w:type="dxa" w:w="106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Panel</w:t>
            </w:r>
          </w:p>
        </w:tc>
        <w:tc>
          <w:tcPr>
            <w:tcW w:type="dxa" w:w="106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Viewer</w:t>
            </w: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Manage users, roles, organisations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Configure scoring and AI</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View / export audit log</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Create, edit, approve vacancies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Raise hiring requests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Upload CVs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View candidates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all</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all</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assigned</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assigned</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interviewed only</w:t>
            </w: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View evaluations and rankings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Override recommendations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Update applicant status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 moves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early stages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Schedule interviews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Score interviews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Hiring recommendation</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View reports</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 (aggregate)</w:t>
            </w:r>
          </w:p>
        </w:tc>
      </w:tr>
      <w:tr>
        <w:tc>
          <w:tcPr>
            <w:tcW w:type="dxa" w:w="327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Export reports</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p>
        </w:tc>
      </w:tr>
      <w:tr>
        <w:tc>
          <w:tcPr>
            <w:tcW w:type="dxa" w:w="327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Erase candidate data</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t>
            </w: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c>
          <w:tcPr>
            <w:tcW w:type="dxa" w:w="106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p>
        </w:tc>
      </w:tr>
    </w:tbl>
    <w:p>
      <w:pPr>
        <w:spacing w:after="120" w:before="160"/>
      </w:pPr>
      <w:r>
        <w:rPr>
          <w:rFonts w:ascii="Calibri" w:cs="Calibri" w:eastAsia="Calibri" w:hAnsi="Calibri"/>
        </w:rPr>
        <w:t xml:space="preserve">Panel members never see candidate contact details or the CV file, only the evaluation needed to interview. Recruiters can move candidates through early stages (new, screening, interview, withdrawn); only roles with workflow management can shortlist, offer, hire or reject.</w:t>
      </w:r>
    </w:p>
    <w:p>
      <w:pPr>
        <w:pStyle w:val="Heading1"/>
        <w:pageBreakBefore/>
      </w:pPr>
      <w:r>
        <w:t xml:space="preserve">6. Security and data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Area</w:t>
            </w:r>
          </w:p>
        </w:tc>
        <w:tc>
          <w:tcPr>
            <w:tcW w:type="dxa" w:w="751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Control</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Transport</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HTTPS via Caddy (automatic certificates) or Kubernetes ingress with cert-manager; HSTS; Secure cookies when PUBLIC_URL is https</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Encryption at rest</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Application-level AES-256-GCM for CV files, CV text, candidate email and phone, independent of disk or storage-account encryption. Key in DATA_ENCRYPTION_KEY (Key Vault in production)</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Authentication</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bcrypt (cost 12) passwords; 12-character policy; lockout after 5 failures for 15 minutes; forced change of temporary passwords; OIDC with PKCE, state and nonce for Entra ID</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Sessions</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15-minute HS256 access tokens held in memory; 7-day refresh tokens, hashed, rotated on every use, reuse detection; suspension revokes all sessions</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Authorisation</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Global guard + per-route permissions + row-level SQL scopes; permissions reloaded on every request</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Input handling</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DTO validation with whitelisting; parameterised SQL only; file type by signature; upload size and count limits; rate limiting (10 sign-in attempts per minute)</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HTTP hardening</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helmet on the API; nginx CSP, X-Frame-Options DENY, nosniff, referrer and permissions policies</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Audit</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 sign-in (and failure), view of candidate data, upload, evaluation, override, status change, interview, export and configuration change. Append-only by trigger and hash-chained; integrity check in the UI and at /api/audit/verify</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AI data minimisation</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Only unresolved requirements and their retrieved passages are sent; name, email, phone and LinkedIn are redacted; provider can be switched off entirely</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Containers</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Non-root users; read-only root filesystem and dropped capabilities in Kubernetes; network policy limits API ingress to the web pods</w:t>
            </w:r>
          </w:p>
        </w:tc>
      </w:tr>
    </w:tbl>
    <w:p>
      <w:pPr>
        <w:pStyle w:val="Heading2"/>
      </w:pPr>
      <w:r>
        <w:t xml:space="preserve">6.1 Data protection (NDPA 2023 and GDPR)</w:t>
      </w:r>
    </w:p>
    <w:p>
      <w:pPr>
        <w:pStyle w:val="ListParagraph"/>
        <w:numPr>
          <w:ilvl w:val="0"/>
          <w:numId w:val="2"/>
        </w:numPr>
        <w:spacing w:after="60" w:line="276"/>
      </w:pPr>
      <w:r>
        <w:rPr>
          <w:rFonts w:ascii="Calibri" w:cs="Calibri" w:eastAsia="Calibri" w:hAnsi="Calibri"/>
          <w:b/>
          <w:bCs/>
        </w:rPr>
        <w:t xml:space="preserve">Lawful, limited processing:</w:t>
      </w:r>
      <w:r>
        <w:rPr>
          <w:rFonts w:ascii="Calibri" w:cs="Calibri" w:eastAsia="Calibri" w:hAnsi="Calibri"/>
        </w:rPr>
        <w:t xml:space="preserve"> only CV content relevant to the vacancy is scored; protected attributes are ignored.</w:t>
      </w:r>
    </w:p>
    <w:p>
      <w:pPr>
        <w:pStyle w:val="ListParagraph"/>
        <w:numPr>
          <w:ilvl w:val="0"/>
          <w:numId w:val="2"/>
        </w:numPr>
        <w:spacing w:after="60" w:line="276"/>
      </w:pPr>
      <w:r>
        <w:rPr>
          <w:rFonts w:ascii="Calibri" w:cs="Calibri" w:eastAsia="Calibri" w:hAnsi="Calibri"/>
          <w:b/>
          <w:bCs/>
        </w:rPr>
        <w:t xml:space="preserve">Human involvement:</w:t>
      </w:r>
      <w:r>
        <w:rPr>
          <w:rFonts w:ascii="Calibri" w:cs="Calibri" w:eastAsia="Calibri" w:hAnsi="Calibri"/>
        </w:rPr>
        <w:t xml:space="preserve"> no automated decision has legal effect; every recommendation is reviewed and overrides are recorded with reasons.</w:t>
      </w:r>
    </w:p>
    <w:p>
      <w:pPr>
        <w:pStyle w:val="ListParagraph"/>
        <w:numPr>
          <w:ilvl w:val="0"/>
          <w:numId w:val="2"/>
        </w:numPr>
        <w:spacing w:after="60" w:line="276"/>
      </w:pPr>
      <w:r>
        <w:rPr>
          <w:rFonts w:ascii="Calibri" w:cs="Calibri" w:eastAsia="Calibri" w:hAnsi="Calibri"/>
          <w:b/>
          <w:bCs/>
        </w:rPr>
        <w:t xml:space="preserve">Transparency:</w:t>
      </w:r>
      <w:r>
        <w:rPr>
          <w:rFonts w:ascii="Calibri" w:cs="Calibri" w:eastAsia="Calibri" w:hAnsi="Calibri"/>
        </w:rPr>
        <w:t xml:space="preserve"> every score is explained with evidence, suitable for answering a candidate's request for an explanation.</w:t>
      </w:r>
    </w:p>
    <w:p>
      <w:pPr>
        <w:pStyle w:val="ListParagraph"/>
        <w:numPr>
          <w:ilvl w:val="0"/>
          <w:numId w:val="2"/>
        </w:numPr>
        <w:spacing w:after="60" w:line="276"/>
      </w:pPr>
      <w:r>
        <w:rPr>
          <w:rFonts w:ascii="Calibri" w:cs="Calibri" w:eastAsia="Calibri" w:hAnsi="Calibri"/>
          <w:b/>
          <w:bCs/>
        </w:rPr>
        <w:t xml:space="preserve">Erasure:</w:t>
      </w:r>
      <w:r>
        <w:rPr>
          <w:rFonts w:ascii="Calibri" w:cs="Calibri" w:eastAsia="Calibri" w:hAnsi="Calibri"/>
        </w:rPr>
        <w:t xml:space="preserve"> a single action removes the file, text, contact details and quoted evidence while keeping anonymised scores for reporting.</w:t>
      </w:r>
    </w:p>
    <w:p>
      <w:pPr>
        <w:pStyle w:val="ListParagraph"/>
        <w:numPr>
          <w:ilvl w:val="0"/>
          <w:numId w:val="2"/>
        </w:numPr>
        <w:spacing w:after="60" w:line="276"/>
      </w:pPr>
      <w:r>
        <w:rPr>
          <w:rFonts w:ascii="Calibri" w:cs="Calibri" w:eastAsia="Calibri" w:hAnsi="Calibri"/>
          <w:b/>
          <w:bCs/>
        </w:rPr>
        <w:t xml:space="preserve">Retention:</w:t>
      </w:r>
      <w:r>
        <w:rPr>
          <w:rFonts w:ascii="Calibri" w:cs="Calibri" w:eastAsia="Calibri" w:hAnsi="Calibri"/>
        </w:rPr>
        <w:t xml:space="preserve"> a nightly job erases personal data on closed or filled vacancies after a configurable period (default 24 months); hired candidates are kept.</w:t>
      </w:r>
    </w:p>
    <w:p>
      <w:pPr>
        <w:pStyle w:val="ListParagraph"/>
        <w:numPr>
          <w:ilvl w:val="0"/>
          <w:numId w:val="2"/>
        </w:numPr>
        <w:spacing w:after="60" w:line="276"/>
      </w:pPr>
      <w:r>
        <w:rPr>
          <w:rFonts w:ascii="Calibri" w:cs="Calibri" w:eastAsia="Calibri" w:hAnsi="Calibri"/>
          <w:b/>
          <w:bCs/>
        </w:rPr>
        <w:t xml:space="preserve">Accountability:</w:t>
      </w:r>
      <w:r>
        <w:rPr>
          <w:rFonts w:ascii="Calibri" w:cs="Calibri" w:eastAsia="Calibri" w:hAnsi="Calibri"/>
        </w:rPr>
        <w:t xml:space="preserve"> the audit trail records who accessed which candidate and when.</w:t>
      </w:r>
    </w:p>
    <w:p>
      <w:pPr>
        <w:pStyle w:val="Heading1"/>
        <w:pageBreakBefore/>
      </w:pPr>
      <w:r>
        <w:t xml:space="preserve">7. API</w:t>
      </w:r>
    </w:p>
    <w:p>
      <w:pPr>
        <w:spacing w:after="120" w:line="288"/>
      </w:pPr>
      <w:r>
        <w:rPr>
          <w:rFonts w:ascii="Calibri" w:cs="Calibri" w:eastAsia="Calibri" w:hAnsi="Calibri"/>
        </w:rPr>
        <w:t xml:space="preserve">A RESTful JSON API under /api, documented with OpenAPI at /api/docs. All routes need a Bearer token except sign-in, refresh, provider discovery and 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Area</w:t>
            </w:r>
          </w:p>
        </w:tc>
        <w:tc>
          <w:tcPr>
            <w:tcW w:type="dxa" w:w="7903"/>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Endpoints</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Auth</w:t>
            </w:r>
          </w:p>
        </w:tc>
        <w:tc>
          <w:tcPr>
            <w:tcW w:type="dxa" w:w="7903"/>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POST /auth/login, /auth/refresh, /auth/logout, /auth/change-password · GET /auth/me, /auth/providers, /auth/oidc/login, /auth/oidc/callback</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Vacancies</w:t>
            </w:r>
          </w:p>
        </w:tc>
        <w:tc>
          <w:tcPr>
            <w:tcW w:type="dxa" w:w="7903"/>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GET/POST /jobs · GET/PUT /jobs/:id · POST /jobs/:id/decision · PATCH /jobs/:id/status · POST /jobs/:id/rescore</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Candidates</w:t>
            </w:r>
          </w:p>
        </w:tc>
        <w:tc>
          <w:tcPr>
            <w:tcW w:type="dxa" w:w="7903"/>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POST /jobs/:id/candidates (multipart, bulk) · POST /jobs/:id/candidates/text · GET /candidates · GET /candidates/:id · GET /candidates/:id/file · PATCH /candidates/:id/status · POST /candidates/:id/evaluate · POST/DELETE /candidates/:id/override · POST /candidates/:id/erase</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Ranking</w:t>
            </w:r>
          </w:p>
        </w:tc>
        <w:tc>
          <w:tcPr>
            <w:tcW w:type="dxa" w:w="7903"/>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/jobs/:id/ranking · GET /jobs/:id/compare?ids=…</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Interviews</w:t>
            </w:r>
          </w:p>
        </w:tc>
        <w:tc>
          <w:tcPr>
            <w:tcW w:type="dxa" w:w="7903"/>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GET/POST /interviews · PATCH /interviews/:id · POST /interviews/:id/scores · POST /candidates/:id/recommendations</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Reports</w:t>
            </w:r>
          </w:p>
        </w:tc>
        <w:tc>
          <w:tcPr>
            <w:tcW w:type="dxa" w:w="7903"/>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/dashboard · GET /reports/summary · GET /reports/export?format=pdf|xlsx|csv</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Administration</w:t>
            </w:r>
          </w:p>
        </w:tc>
        <w:tc>
          <w:tcPr>
            <w:tcW w:type="dxa" w:w="7903"/>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GET/POST/PATCH /users · POST /users/:id/reset-password · GET /permissions · GET/POST/PUT/DELETE /roles · GET/POST /organisations, /departments · GET/PUT /settings/scoring/default · GET/PUT /settings/ai</w:t>
            </w:r>
          </w:p>
        </w:tc>
      </w:tr>
      <w:tr>
        <w:tc>
          <w:tcPr>
            <w:tcW w:type="dxa" w:w="173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Audit and notifications</w:t>
            </w:r>
          </w:p>
        </w:tc>
        <w:tc>
          <w:tcPr>
            <w:tcW w:type="dxa" w:w="7903"/>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/audit · GET /audit/verify · GET /audit/export · GET /notifications · POST /notifications/read</w:t>
            </w:r>
          </w:p>
        </w:tc>
      </w:tr>
      <w:tr>
        <w:tc>
          <w:tcPr>
            <w:tcW w:type="dxa" w:w="173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Health</w:t>
            </w:r>
          </w:p>
        </w:tc>
        <w:tc>
          <w:tcPr>
            <w:tcW w:type="dxa" w:w="7903"/>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GET /health</w:t>
            </w:r>
          </w:p>
        </w:tc>
      </w:tr>
    </w:tbl>
    <w:p>
      <w:pPr>
        <w:pStyle w:val="Heading1"/>
        <w:pageBreakBefore/>
      </w:pPr>
      <w:r>
        <w:t xml:space="preserve">8. Deployment</w:t>
      </w:r>
    </w:p>
    <w:p>
      <w:pPr>
        <w:pStyle w:val="Heading2"/>
      </w:pPr>
      <w:r>
        <w:t xml:space="preserve">8.1 Docker Compose (single host)</w:t>
      </w:r>
    </w:p>
    <w:p>
      <w:pPr>
        <w:spacing w:after="120" w:line="288"/>
      </w:pPr>
      <w:r>
        <w:rPr>
          <w:rFonts w:ascii="Calibri" w:cs="Calibri" w:eastAsia="Calibri" w:hAnsi="Calibri"/>
        </w:rPr>
        <w:t xml:space="preserve">docker-compose.yml runs six services: postgres, minio, migrate, api, worker and web. The migrate service must complete before the API and worker start; the web container waits for the API health check. Data persists in named volumes (pgdata, miniodata, uploads).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Step</w:t>
            </w:r>
          </w:p>
        </w:tc>
        <w:tc>
          <w:tcPr>
            <w:tcW w:type="dxa" w:w="751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Command</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1. Configure</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cp .env.example .env &amp;&amp; ./scripts/init-env.sh</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 Start</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docker compose up -d --build</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3. First admin</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docker compose logs migrate (one-time password), or set BOOTSTRAP_ADMIN_PASSWORD</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 Verify</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python3 scripts/smoke_test.py --base http://localhost:8080 --admin-email … --admin-password …</w:t>
            </w:r>
          </w:p>
        </w:tc>
      </w:tr>
      <w:tr>
        <w:tc>
          <w:tcPr>
            <w:tcW w:type="dxa" w:w="212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HTTPS</w:t>
            </w:r>
          </w:p>
        </w:tc>
        <w:tc>
          <w:tcPr>
            <w:tcW w:type="dxa" w:w="751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docker compose -f docker-compose.yml -f docker-compose.tls.yml up -d (Caddy, Let's Encrypt)</w:t>
            </w:r>
          </w:p>
        </w:tc>
      </w:tr>
      <w:tr>
        <w:tc>
          <w:tcPr>
            <w:tcW w:type="dxa" w:w="212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Scale evaluation</w:t>
            </w:r>
          </w:p>
        </w:tc>
        <w:tc>
          <w:tcPr>
            <w:tcW w:type="dxa" w:w="751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WORKER_REPLICAS=3 docker compose up -d worker</w:t>
            </w:r>
          </w:p>
        </w:tc>
      </w:tr>
    </w:tbl>
    <w:p>
      <w:pPr>
        <w:pStyle w:val="Heading2"/>
      </w:pPr>
      <w:r>
        <w:t xml:space="preserve">8.2 Azure Kubernetes Service (reference)</w:t>
      </w:r>
    </w:p>
    <w:p>
      <w:pPr>
        <w:pStyle w:val="ListParagraph"/>
        <w:numPr>
          <w:ilvl w:val="0"/>
          <w:numId w:val="2"/>
        </w:numPr>
        <w:spacing w:after="60" w:line="276"/>
      </w:pPr>
      <w:r>
        <w:rPr>
          <w:rFonts w:ascii="Calibri" w:cs="Calibri" w:eastAsia="Calibri" w:hAnsi="Calibri"/>
        </w:rPr>
        <w:t xml:space="preserve">Images built and pushed to GitHub Container Registry by the CI workflow on every merge to main.</w:t>
      </w:r>
    </w:p>
    <w:p>
      <w:pPr>
        <w:pStyle w:val="ListParagraph"/>
        <w:numPr>
          <w:ilvl w:val="0"/>
          <w:numId w:val="2"/>
        </w:numPr>
        <w:spacing w:after="60" w:line="276"/>
      </w:pPr>
      <w:r>
        <w:rPr>
          <w:rFonts w:ascii="Calibri" w:cs="Calibri" w:eastAsia="Calibri" w:hAnsi="Calibri"/>
        </w:rPr>
        <w:t xml:space="preserve">Azure Database for PostgreSQL Flexible Server (allow-list pgcrypto and pg_trgm), Azure Blob Storage, Azure OpenAI, Entra ID.</w:t>
      </w:r>
    </w:p>
    <w:p>
      <w:pPr>
        <w:pStyle w:val="ListParagraph"/>
        <w:numPr>
          <w:ilvl w:val="0"/>
          <w:numId w:val="2"/>
        </w:numPr>
        <w:spacing w:after="60" w:line="276"/>
      </w:pPr>
      <w:r>
        <w:rPr>
          <w:rFonts w:ascii="Calibri" w:cs="Calibri" w:eastAsia="Calibri" w:hAnsi="Calibri"/>
        </w:rPr>
        <w:t xml:space="preserve">Secrets from Azure Key Vault through the Secrets Store CSI driver; configuration in a ConfigMap.</w:t>
      </w:r>
    </w:p>
    <w:p>
      <w:pPr>
        <w:pStyle w:val="ListParagraph"/>
        <w:numPr>
          <w:ilvl w:val="0"/>
          <w:numId w:val="2"/>
        </w:numPr>
        <w:spacing w:after="60" w:line="276"/>
      </w:pPr>
      <w:r>
        <w:rPr>
          <w:rFonts w:ascii="Calibri" w:cs="Calibri" w:eastAsia="Calibri" w:hAnsi="Calibri"/>
        </w:rPr>
        <w:t xml:space="preserve">Migrate Job per release, then api (2 replicas), worker (HPA 1–6), web (2 replicas), ingress with cert-manager, network policy.</w:t>
      </w:r>
    </w:p>
    <w:p>
      <w:pPr>
        <w:pStyle w:val="Heading2"/>
      </w:pPr>
      <w:r>
        <w:t xml:space="preserve">8.3 Configuration</w:t>
      </w:r>
    </w:p>
    <w:p>
      <w:pPr>
        <w:spacing w:after="120" w:line="288"/>
      </w:pPr>
      <w:r>
        <w:rPr>
          <w:rFonts w:ascii="Calibri" w:cs="Calibri" w:eastAsia="Calibri" w:hAnsi="Calibri"/>
        </w:rPr>
        <w:t xml:space="preserve">All infrastructure settings are environment variables documented in .env.example. Business settings (weights, thresholds, hard rules, AI provider, evidence, redaction, retention) are edited in the application by authorised roles and audited.</w:t>
      </w:r>
    </w:p>
    <w:p>
      <w:pPr>
        <w:pStyle w:val="Heading1"/>
        <w:pageBreakBefore/>
      </w:pPr>
      <w:r>
        <w:t xml:space="preserve">9.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Requirement (from the brief)</w:t>
            </w:r>
          </w:p>
        </w:tc>
        <w:tc>
          <w:tcPr>
            <w:tcW w:type="dxa" w:w="6168"/>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How it is met</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CV parsing of all listed fields</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Parser extracts name, contacts, summary, employment history, titles, responsibilities, skills, education, certifications, memberships, projects, awards, publications, languages, total and relevant years</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Qualification, skills, experience matching</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Requirement checks per category with evidence; relevant-experience model; career progression and stability</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Reject on failed minimum experience unless configured</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Hard rule, switchable in Scoring &amp; AI</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Configurable weighted scoring without code changes</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Organisation default and per-vacancy weights in the UI; thresholds and rules too; changes re-score automatically</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Four-way recommendation with evidence</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Shortlist / Consider / Hold / Reject with justification and quoted CV lines</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Ranking with the listed columns</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Rank, name, score, years, qualification %, skills %, recommendation, key strengths, key gaps</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Per-candidate output format</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Candidate summary, qualification assessment, strengths, gaps, final recommendation on the assessment page</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Six roles with listed capabilities</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Seeded roles and permissions; editable matrix; row-level scoping</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All listed front-end screens</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Implemented, including candidate comparison, notification centre, audit log and exports</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Single and bulk upload; concurrent campaigns</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Multipart bulk upload; unlimited open vacancies with independent criteria</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Complete audit logs</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Append-only, hash-chained, exportable</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Encryption at rest and in transit</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AES-256-GCM application encryption; TLS at the edge</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Responsive web app; REST; OAuth2/JWT</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Responsive React UI (tested at phone width); REST + OpenAPI; JWT and OIDC</w:t>
            </w:r>
          </w:p>
        </w:tc>
      </w:tr>
      <w:tr>
        <w:tc>
          <w:tcPr>
            <w:tcW w:type="dxa" w:w="3470"/>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 availability; logging and monitoring</w:t>
            </w:r>
          </w:p>
        </w:tc>
        <w:tc>
          <w:tcPr>
            <w:tcW w:type="dxa" w:w="6168"/>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Stateless replicas; health checks and probes; structured logs; durable queue with retries and stuck-job recovery</w:t>
            </w:r>
          </w:p>
        </w:tc>
      </w:tr>
      <w:tr>
        <w:tc>
          <w:tcPr>
            <w:tcW w:type="dxa" w:w="3470"/>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Explainable AI with human review</w:t>
            </w:r>
          </w:p>
        </w:tc>
        <w:tc>
          <w:tcPr>
            <w:tcW w:type="dxa" w:w="6168"/>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Deterministic scoring; grounded AI evidence; override workflow</w:t>
            </w:r>
          </w:p>
        </w:tc>
      </w:tr>
    </w:tbl>
    <w:p>
      <w:pPr>
        <w:pStyle w:val="Heading1"/>
        <w:pageBreakBefore/>
      </w:pPr>
      <w:r>
        <w:t xml:space="preserve">10. Verification</w:t>
      </w:r>
    </w:p>
    <w:p>
      <w:pPr>
        <w:spacing w:after="120" w:line="288"/>
      </w:pPr>
      <w:r>
        <w:rPr>
          <w:rFonts w:ascii="Calibri" w:cs="Calibri" w:eastAsia="Calibri" w:hAnsi="Calibri"/>
        </w:rPr>
        <w:t xml:space="preserve">The following was run against the code in this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tblHeader/>
        </w:trPr>
        <w:tc>
          <w:tcPr>
            <w:tcW w:type="dxa" w:w="6747"/>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Test</w:t>
            </w:r>
          </w:p>
        </w:tc>
        <w:tc>
          <w:tcPr>
            <w:tcW w:type="dxa" w:w="289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Result</w:t>
            </w:r>
          </w:p>
        </w:tc>
      </w:tr>
      <w:tr>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Engine unit tests (vitest): parsing, date maths, synonyms, scoring, hard rules, configurable rules, protected-attribute invariance, model-evidence acceptance, retrieval, redaction</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13 of 13 passed</w:t>
            </w:r>
          </w:p>
        </w:tc>
      </w:tr>
      <w:tr>
        <w:tc>
          <w:tcPr>
            <w:tcW w:type="dxa" w:w="674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End-to-end smoke test against the production build behind the real nginx configuration, on a freshly migrated database: sign-in, wrong-password rejection, RBAC denials for each role, hiring request and approval, bulk upload (PDF, DOCX, rejected PNG), duplicate detection, queued evaluation by the worker, ranking, override, interview scheduling, panel visibility limits, scoring, hiring recommendation, PDF/XLSX/CSV export, audit coverage and hash-chain verification</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45 of 45 checks passed</w:t>
            </w:r>
          </w:p>
        </w:tc>
      </w:tr>
      <w:tr>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AI path against a mock OpenAI-compatible server</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Requests sent with redacted passages; 7 fabricated quotes discarded; narrative stored; provider failure falls back to rules</w:t>
            </w:r>
          </w:p>
        </w:tc>
      </w:tr>
      <w:tr>
        <w:tc>
          <w:tcPr>
            <w:tcW w:type="dxa" w:w="674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Storage drivers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S3 (mock S3 server) and Azure Blob (Azurite): encrypted round trip, bucket/container creation and delete verified; local driver used in the end-to-end tests</w:t>
            </w:r>
          </w:p>
        </w:tc>
      </w:tr>
      <w:tr>
        <w:tc>
          <w:tcPr>
            <w:tcW w:type="dxa" w:w="6747"/>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Browser checks (Chromium)</w:t>
            </w:r>
          </w:p>
        </w:tc>
        <w:tc>
          <w:tcPr>
            <w:tcW w:type="dxa" w:w="289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Desktop and 390 px phone layouts; session survives reload; sign-out clears the session; no script errors</w:t>
            </w:r>
          </w:p>
        </w:tc>
      </w:tr>
      <w:tr>
        <w:tc>
          <w:tcPr>
            <w:tcW w:type="dxa" w:w="6747"/>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Docker Compose files</w:t>
            </w:r>
          </w:p>
        </w:tc>
        <w:tc>
          <w:tcPr>
            <w:tcW w:type="dxa" w:w="289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Validated with docker compose config</w:t>
            </w:r>
          </w:p>
        </w:tc>
      </w:tr>
    </w:tbl>
    <w:p>
      <w:pPr>
        <w:pBdr>
          <w:left w:val="single" w:color="B53043" w:sz="18" w:space="10"/>
        </w:pBdr>
        <w:shd w:fill="F8E6E9" w:color="auto" w:val="clear"/>
        <w:spacing w:after="200" w:before="120" w:line="276"/>
        <w:ind w:left="240"/>
      </w:pPr>
      <w:r>
        <w:rPr>
          <w:rFonts w:ascii="Calibri" w:cs="Calibri" w:eastAsia="Calibri" w:hAnsi="Calibri"/>
          <w:b/>
          <w:bCs/>
        </w:rPr>
        <w:t xml:space="preserve">Not yet run here:</w:t>
      </w:r>
      <w:r>
        <w:rPr>
          <w:rFonts w:ascii="Calibri" w:cs="Calibri" w:eastAsia="Calibri" w:hAnsi="Calibri"/>
        </w:rPr>
        <w:t xml:space="preserve"> building the Docker images and starting the Compose stack (the build environment could not download base images), a live call to Azure OpenAI, and a live Entra ID sign-in. The image build steps were replayed outside Docker with the same commands and passed. Run the smoke test after the first docker compose up to confirm on your host.</w:t>
      </w:r>
    </w:p>
    <w:p>
      <w:pPr>
        <w:pStyle w:val="Heading1"/>
        <w:pageBreakBefore/>
      </w:pPr>
      <w:r>
        <w:t xml:space="preserve">11. Limitations and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tblHeader/>
        </w:trPr>
        <w:tc>
          <w:tcPr>
            <w:tcW w:type="dxa" w:w="1542"/>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Area</w:t>
            </w:r>
          </w:p>
        </w:tc>
        <w:tc>
          <w:tcPr>
            <w:tcW w:type="dxa" w:w="3855"/>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Current state</w:t>
            </w:r>
          </w:p>
        </w:tc>
        <w:tc>
          <w:tcPr>
            <w:tcW w:type="dxa" w:w="4241"/>
            <w:tcBorders>
              <w:top w:val="single" w:color="C3CFC8" w:sz="4"/>
              <w:left w:val="single" w:color="C3CFC8" w:sz="4"/>
              <w:bottom w:val="single" w:color="C3CFC8" w:sz="4"/>
              <w:right w:val="single" w:color="C3CFC8" w:sz="4"/>
            </w:tcBorders>
            <w:shd w:fill="1E4634"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Next step</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Scanned CVs</w:t>
            </w:r>
          </w:p>
        </w:tc>
        <w:tc>
          <w:tcPr>
            <w:tcW w:type="dxa" w:w="385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Rejected with a message</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Add OCR (Azure AI Document Intelligence) in the worker</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Search</w:t>
            </w:r>
          </w:p>
        </w:tc>
        <w:tc>
          <w:tcPr>
            <w:tcW w:type="dxa" w:w="385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PostgreSQL trigram search over names, skills and titles</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Add Elasticsearch / Azure AI Search when CV volume or semantic search needs it</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AI evidence</w:t>
            </w:r>
          </w:p>
        </w:tc>
        <w:tc>
          <w:tcPr>
            <w:tcW w:type="dxa" w:w="385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Grounded quotes, but a real line can still be judged relevant wrongly</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Keep amber “confirm” flags; sample-audit AI matches; tune prompts per role family</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Synonyms</w:t>
            </w:r>
          </w:p>
        </w:tc>
        <w:tc>
          <w:tcPr>
            <w:tcW w:type="dxa" w:w="385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Curated dictionary for IT, M&amp;E, finance and health</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Extend from override reasons; per-department dictionaries</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Calendar</w:t>
            </w:r>
          </w:p>
        </w:tc>
        <w:tc>
          <w:tcPr>
            <w:tcW w:type="dxa" w:w="385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Interviews stored in-app with notifications</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Create Outlook/Teams meetings through Microsoft Graph</w:t>
            </w:r>
          </w:p>
        </w:tc>
      </w:tr>
      <w:tr>
        <w:tc>
          <w:tcPr>
            <w:tcW w:type="dxa" w:w="1542"/>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Candidate portal</w:t>
            </w:r>
          </w:p>
        </w:tc>
        <w:tc>
          <w:tcPr>
            <w:tcW w:type="dxa" w:w="3855"/>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Internal tool only</w:t>
            </w:r>
          </w:p>
        </w:tc>
        <w:tc>
          <w:tcPr>
            <w:tcW w:type="dxa" w:w="4241"/>
            <w:tcBorders>
              <w:top w:val="single" w:color="C3CFC8" w:sz="4"/>
              <w:left w:val="single" w:color="C3CFC8" w:sz="4"/>
              <w:bottom w:val="single" w:color="C3CFC8" w:sz="4"/>
              <w:right w:val="single" w:color="C3CFC8"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application form feeding the same pipeline</w:t>
            </w:r>
          </w:p>
        </w:tc>
      </w:tr>
      <w:tr>
        <w:tc>
          <w:tcPr>
            <w:tcW w:type="dxa" w:w="1542"/>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Bias monitoring</w:t>
            </w:r>
          </w:p>
        </w:tc>
        <w:tc>
          <w:tcPr>
            <w:tcW w:type="dxa" w:w="3855"/>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Protected attributes excluded by design</w:t>
            </w:r>
          </w:p>
        </w:tc>
        <w:tc>
          <w:tcPr>
            <w:tcW w:type="dxa" w:w="4241"/>
            <w:tcBorders>
              <w:top w:val="single" w:color="C3CFC8" w:sz="4"/>
              <w:left w:val="single" w:color="C3CFC8" w:sz="4"/>
              <w:bottom w:val="single" w:color="C3CFC8" w:sz="4"/>
              <w:right w:val="single" w:color="C3CFC8" w:sz="4"/>
            </w:tcBorders>
            <w:shd w:fill="F6F9F7" w:color="auto" w:val="clear"/>
            <w:tcMar>
              <w:top w:type="dxa" w:w="60"/>
              <w:left w:type="dxa" w:w="100"/>
              <w:bottom w:type="dxa" w:w="60"/>
              <w:right w:type="dxa" w:w="100"/>
            </w:tcMar>
          </w:tcPr>
          <w:p>
            <w:pPr>
              <w:spacing w:after="0" w:line="252"/>
            </w:pPr>
            <w:r>
              <w:rPr>
                <w:rFonts w:ascii="Calibri" w:cs="Calibri" w:eastAsia="Calibri" w:hAnsi="Calibri"/>
                <w:sz w:val="18"/>
                <w:szCs w:val="18"/>
              </w:rPr>
              <w:t xml:space="preserve">Periodic adverse-impact report by HR (requires voluntary, separately stored demographic data)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A62"/>
        <w:sz w:val="16"/>
        <w:szCs w:val="16"/>
      </w:rPr>
      <w:t xml:space="preserve">…Improving Education and Health in Nigeria   ·   Page </w:t>
    </w:r>
    <w:r>
      <w:rPr>
        <w:rFonts w:ascii="Calibri" w:cs="Calibri" w:eastAsia="Calibri" w:hAnsi="Calibri"/>
        <w:color w:val="5B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A62"/>
        <w:sz w:val="16"/>
        <w:szCs w:val="16"/>
      </w:rPr>
      <w:t xml:space="preserve">ECEWS TalentScreen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3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E463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316C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8351c99d4f25f1cab6353cc0dc329985f1a75e.png"/><Relationship Id="rId10" Type="http://schemas.openxmlformats.org/officeDocument/2006/relationships/image" Target="media/f66dc3592f6fa74ed631e0ee14b3e6e0eb91fba1.png"/><Relationship Id="rId11" Type="http://schemas.openxmlformats.org/officeDocument/2006/relationships/image" Target="media/357afd5b2e65fed19426dd375d4c52dba70b23d9.png"/><Relationship Id="rId12" Type="http://schemas.openxmlformats.org/officeDocument/2006/relationships/image" Target="media/6a95e5734a12f909270d9632506484ed55d8c46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ECEWS TalentScreen — System Design</dc:title>
  <dc:creator>ECEWS IT</dc:creator>
  <dc:description>System design for the AI-assisted recruitment system</dc:description>
  <cp:lastModifiedBy>Un-named</cp:lastModifiedBy>
  <cp:revision>1</cp:revision>
  <dcterms:created xsi:type="dcterms:W3CDTF">2026-10-07T18:45:37.325Z</dcterms:created>
  <dcterms:modified xsi:type="dcterms:W3CDTF">2026-10-07T18:45:37.325Z</dcterms:modified>
</cp:coreProperties>
</file>

<file path=docProps/custom.xml><?xml version="1.0" encoding="utf-8"?>
<Properties xmlns="http://schemas.openxmlformats.org/officeDocument/2006/custom-properties" xmlns:vt="http://schemas.openxmlformats.org/officeDocument/2006/docPropsVTypes"/>
</file>