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24831941    Last Name: Bao (包)    First Name: Jie (杰)</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https://24831941.it.scu.edu.au/</w:t>
      </w:r>
    </w:p>
    <w:p>
      <w:pPr>
        <w:rPr>
          <w:rFonts w:ascii="Arial" w:hAnsi="Arial" w:cs="Arial"/>
          <w:sz w:val="24"/>
          <w:szCs w:val="24"/>
        </w:rPr>
        <w:spacing w:after="160"/>
      </w:pPr>
      <w:r>
        <w:rPr>
          <w:rFonts w:ascii="Arial" w:hAnsi="Arial" w:cs="Arial" w:eastAsia="Microsoft YaHei"/>
          <w:i w:val="0"/>
          <w:sz w:val="24"/>
        </w:rPr>
        <w:t>Live admin site: https://24831941.it.scu.edu.au/admin/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(me)</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(24832054)</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rPr>
          <w:rFonts w:ascii="Arial" w:hAnsi="Arial" w:cs="Arial"/>
          <w:sz w:val="24"/>
          <w:szCs w:val="24"/>
        </w:r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rPr>
          <w:rFonts w:ascii="Arial" w:hAnsi="Arial" w:cs="Arial"/>
          <w:sz w:val="24"/>
          <w:szCs w:val="24"/>
        </w:r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rPr>
          <w:rFonts w:ascii="Arial" w:hAnsi="Arial" w:cs="Arial"/>
          <w:sz w:val="24"/>
          <w:szCs w:val="24"/>
        </w:r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rPr>
          <w:rFonts w:ascii="Arial" w:hAnsi="Arial" w:cs="Arial"/>
          <w:sz w:val="24"/>
          <w:szCs w:val="24"/>
        </w:r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schema</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Candidate table shapes for registrations, and the argument for a surrogate key against a two-column natural key</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Chose UNIQUE (event_id, email); rejected a separate attendee table; wrote the four CREATE TABLE statements and the foreign key that carries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API surface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endpoints to consider, and where a 400 differs from a 409</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Chose 409 over 400 for a blocked delete; designed the request and response shapes; wrote every route in api/routes/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toISOString() returns a UTC date and shifts the calendar day, and that the delete check and the delete itself must not be separated by other work</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Reproduced both, rewrote the date handling to build a local calendar date, moved the check and the delete into one transaction, tested both against the live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emoji corruption</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character-set causes to rule out during the investigation</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Ran the experiments that eliminated the first two explanations, found that the tables were created utf8mb3 under a utf8mb4 connection, pinned utf8mb4 on every table and regression-tested it against a utf8mb3 database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database, the event CRUD endpoints and the delete rule, the client-side shell with the home and search pages, and the staff list.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