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24831941    Last Name: Bao (包)    First Name: Jie (杰)</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https://24831941.it.scu.edu.au/</w:t>
      </w:r>
    </w:p>
    <w:p>
      <w:pPr>
        <w:rPr>
          <w:rFonts w:ascii="Arial" w:hAnsi="Arial" w:cs="Arial"/>
          <w:sz w:val="24"/>
          <w:szCs w:val="24"/>
        </w:rPr>
        <w:spacing w:after="160"/>
      </w:pPr>
      <w:r>
        <w:rPr>
          <w:rFonts w:ascii="Arial" w:hAnsi="Arial" w:cs="Arial" w:eastAsia="Microsoft YaHei"/>
          <w:i w:val="0"/>
          <w:sz w:val="24"/>
        </w:rPr>
        <w:t>Live admin site: https://24831941.it.scu.edu.au/admin/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(24832054)</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the database, the event endpoints that both websites write through, the public site's data layer with the Home and Search pages, the staff event list, and the deployment - which I then did a second time, on my own account, before writing it down.</w:t>
      </w:r>
    </w:p>
    <w:p>
      <w:pPr>
        <w:rPr>
          <w:rFonts w:ascii="Arial" w:hAnsi="Arial" w:cs="Arial"/>
          <w:sz w:val="24"/>
          <w:szCs w:val="24"/>
        </w:rPr>
        <w:spacing w:after="160"/>
      </w:pPr>
      <w:r>
        <w:rPr>
          <w:rFonts w:ascii="Arial" w:hAnsi="Arial" w:cs="Arial" w:eastAsia="Microsoft YaHei"/>
          <w:b/>
          <w:sz w:val="24"/>
        </w:rPr>
        <w:t xml:space="preserve">Database. </w:t>
      </w:r>
      <w:r>
        <w:rPr>
          <w:rFonts w:ascii="Arial" w:hAnsi="Arial" w:cs="Arial" w:eastAsia="Microsoft YaHei"/>
          <w:sz w:val="24"/>
        </w:rPr>
        <w:t>I designed and added the registrations table. The shape of it came from two rules in the brief that pull against each other: there is no user table, and one person may register for many events but only once per event. With no account to identify a person, their email address is the only identity available, so 'once per event' is really a rule about the pair (event_id, email) - and that pair became a UNIQUE constraint rather than a check in JavaScript. I also added latitude and longitude to events for the weather work, and wrote the sixteen sample bookings so that the event page and the staff edit screen both have realistic data to show.</w:t>
      </w:r>
    </w:p>
    <w:p>
      <w:pPr>
        <w:rPr>
          <w:rFonts w:ascii="Arial" w:hAnsi="Arial" w:cs="Arial"/>
          <w:sz w:val="24"/>
          <w:szCs w:val="24"/>
        </w:rPr>
        <w:spacing w:after="160"/>
      </w:pPr>
      <w:r>
        <w:rPr>
          <w:rFonts w:ascii="Arial" w:hAnsi="Arial" w:cs="Arial" w:eastAsia="Microsoft YaHei"/>
          <w:b/>
          <w:sz w:val="24"/>
        </w:rPr>
        <w:t xml:space="preserve">Event endpoints. </w:t>
      </w:r>
      <w:r>
        <w:rPr>
          <w:rFonts w:ascii="Arial" w:hAnsi="Arial" w:cs="Arial" w:eastAsia="Microsoft YaHei"/>
          <w:sz w:val="24"/>
        </w:rPr>
        <w:t>I wrote GET, POST, PUT and DELETE for /api/events, and the part I spent longest on was DELETE. The rule is that an event with bookings cannot be deleted, and I chose to enforce it twice: the endpoint counts the bookings first, so the staff member gets a sentence they can act on - 'this event has four bookings' - and the foreign key is ON DELETE RESTRICT, so the rule still holds if something later bypasses my endpoint. Writing it that way was the moment the difference between validating input and protecting data actually became concrete for me.</w:t>
      </w:r>
    </w:p>
    <w:p>
      <w:pPr>
        <w:rPr>
          <w:rFonts w:ascii="Arial" w:hAnsi="Arial" w:cs="Arial"/>
          <w:sz w:val="24"/>
          <w:szCs w:val="24"/>
        </w:rPr>
        <w:spacing w:after="160"/>
      </w:pPr>
      <w:r>
        <w:rPr>
          <w:rFonts w:ascii="Arial" w:hAnsi="Arial" w:cs="Arial" w:eastAsia="Microsoft YaHei"/>
          <w:b/>
          <w:sz w:val="24"/>
        </w:rPr>
        <w:t xml:space="preserve">Public site and staff list. </w:t>
      </w:r>
      <w:r>
        <w:rPr>
          <w:rFonts w:ascii="Arial" w:hAnsi="Arial" w:cs="Arial" w:eastAsia="Microsoft YaHei"/>
          <w:sz w:val="24"/>
        </w:rPr>
        <w:t>On the public site I built the Angular shell, the typed models, the service layer that every page calls, and the Home and Search pages, including the query-string filters that stay in the URL so a search result can be shared. On the staff site I built the event list and its delete flow, including the branch that reports a blocked delete instead of a generic failure.</w:t>
      </w:r>
    </w:p>
    <w:p>
      <w:pPr>
        <w:rPr>
          <w:rFonts w:ascii="Arial" w:hAnsi="Arial" w:cs="Arial"/>
          <w:sz w:val="24"/>
          <w:szCs w:val="24"/>
        </w:rPr>
        <w:spacing w:after="160"/>
      </w:pPr>
      <w:r>
        <w:rPr>
          <w:rFonts w:ascii="Arial" w:hAnsi="Arial" w:cs="Arial" w:eastAsia="Microsoft YaHei"/>
          <w:b/>
          <w:sz w:val="24"/>
        </w:rPr>
        <w:t xml:space="preserve">Deployment. </w:t>
      </w:r>
      <w:r>
        <w:rPr>
          <w:rFonts w:ascii="Arial" w:hAnsi="Arial" w:cs="Arial" w:eastAsia="Microsoft YaHei"/>
          <w:sz w:val="24"/>
        </w:rPr>
        <w:t>I deployed the whole stack to my own cPanel account and then wrote the procedure down, which is how the second deployment - Chengyu's - took an afternoon instead of the day mine took. Three things went wrong that I did not expect: the emoji icons arrived as question marks, the staff site served a blank page, and the API connected to the database as the wrong user because the environment variables had never been saved. Section 11 covers the diagnoses; the short version is that all three happened one layer below where I was looking.</w:t>
      </w:r>
    </w:p>
    <w:p>
      <w:pPr>
        <w:rPr>
          <w:rFonts w:ascii="Arial" w:hAnsi="Arial" w:cs="Arial"/>
          <w:sz w:val="24"/>
          <w:szCs w:val="24"/>
        </w:rPr>
        <w:spacing w:after="160"/>
      </w:pPr>
      <w:r>
        <w:rPr>
          <w:rFonts w:ascii="Arial" w:hAnsi="Arial" w:cs="Arial" w:eastAsia="Microsoft YaHei"/>
          <w:b/>
          <w:sz w:val="24"/>
        </w:rPr>
        <w:t xml:space="preserve">What I would do differently. </w:t>
      </w:r>
      <w:r>
        <w:rPr>
          <w:rFonts w:ascii="Arial" w:hAnsi="Arial" w:cs="Arial" w:eastAsia="Microsoft YaHei"/>
          <w:sz w:val="24"/>
        </w:rPr>
        <w:t>I would put the character set in the CREATE TABLE statement on the first day rather than trusting the database default, and I would add a health endpoint that reports which database it is connected to before writing any other route, because that one line turned the third problem from a mystery into a five-minute fix. I can explain and demonstrate every file listed above.</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891"/>
        <w:gridCol w:w="3672"/>
        <w:gridCol w:w="3338"/>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3672"/>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338"/>
            <w:shd w:val="clear" w:color="auto" w:fill="E8EEF4"/>
          </w:tcPr>
          <w:p>
            <w:pPr>
              <w:rPr>
                <w:rFonts w:ascii="Arial" w:hAnsi="Arial" w:cs="Arial"/>
                <w:sz w:val="18"/>
                <w:szCs w:val="18"/>
              </w:rPr>
              <w:spacing w:line="240" w:lineRule="auto" w:after="40"/>
            </w:pPr>
            <w:r/>
            <w:r>
              <w:rPr>
                <w:rFonts w:ascii="Arial" w:hAnsi="Arial" w:cs="Arial" w:eastAsia="Microsoft YaHei"/>
                <w:b/>
                <w:sz w:val="18"/>
              </w:rPr>
              <w:t>What I did myself</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schema</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Candidate table shapes for registrations, and the argument for a surrogate key against a two-column natural key</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Chose UNIQUE (event_id, email); rejected a separate attendee table; wrote the four CREATE TABLE statements and the foreign key that carries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API surface</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A list of endpoints to consider, and where a 400 differs from a 409</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Chose 409 over 400 for a blocked delete; designed the request and response shapes; wrote every route in api/routes/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Pointed out that toISOString() returns a UTC date and shifts the calendar day, and that the delete check and the delete itself must not be separated by other work</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Reproduced both, rewrote the date handling to build a local calendar date, moved the check and the delete into one transaction, tested both against the live API</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Debugging the emoji corruption</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Suggested character-set causes to rule out during the investigation</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Ran the experiments that eliminated the first two explanations, found that the tables were created utf8mb3 under a utf8mb4 connection, pinned utf8mb4 on every table and regression-tested it against a utf8mb3 database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database, the event CRUD endpoints and the delete rule, the client-side shell with the home and search pages, and the staff list. The chat log of the sessions is kept with the submission under docs/genai-screenshots/, and this section is the declaration of record.</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