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AB" w:rsidRPr="00C6742F" w:rsidRDefault="006B58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900" w:type="dxa"/>
        <w:tblInd w:w="-360" w:type="dxa"/>
        <w:tblLayout w:type="fixed"/>
        <w:tblLook w:val="0000" w:firstRow="0" w:lastRow="0" w:firstColumn="0" w:lastColumn="0" w:noHBand="0" w:noVBand="0"/>
      </w:tblPr>
      <w:tblGrid>
        <w:gridCol w:w="4590"/>
        <w:gridCol w:w="5310"/>
      </w:tblGrid>
      <w:tr w:rsidR="006B58AB" w:rsidRPr="00C6742F" w:rsidTr="00C6742F">
        <w:trPr>
          <w:trHeight w:val="1672"/>
        </w:trPr>
        <w:tc>
          <w:tcPr>
            <w:tcW w:w="4590" w:type="dxa"/>
          </w:tcPr>
          <w:p w:rsidR="006B58AB" w:rsidRPr="00660AEC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Y TẾ</w:t>
            </w: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1004698</wp:posOffset>
                      </wp:positionH>
                      <wp:positionV relativeFrom="paragraph">
                        <wp:posOffset>194310</wp:posOffset>
                      </wp:positionV>
                      <wp:extent cx="745263" cy="0"/>
                      <wp:effectExtent l="0" t="0" r="361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26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TRƯỜNG ĐẠI HỌC Y DƯỢC CẦN THƠ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69763" y="3779683"/>
                                <a:ext cx="752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Số: 05/KH-KCNTT</w:t>
            </w:r>
          </w:p>
          <w:p w:rsidR="006B58AB" w:rsidRPr="00C6742F" w:rsidRDefault="006B58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0" w:type="dxa"/>
          </w:tcPr>
          <w:p w:rsidR="006B58AB" w:rsidRPr="00C6742F" w:rsidRDefault="0094192E" w:rsidP="00C67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696221</wp:posOffset>
                      </wp:positionH>
                      <wp:positionV relativeFrom="paragraph">
                        <wp:posOffset>189593</wp:posOffset>
                      </wp:positionV>
                      <wp:extent cx="1892226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2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Độc lập – Tự do – Hạnh phúc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4938" y="3780000"/>
                                <a:ext cx="1762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Cần Thơ, ngày 13 tháng 10 năm 2026</w:t>
            </w:r>
          </w:p>
          <w:p w:rsidR="006B58AB" w:rsidRPr="00C6742F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Về việc tổ chức chuyển giao công nghệ</w:t>
      </w:r>
      <w:r w:rsidR="003C00A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“Phần mềm tư vấn sức khỏe từ xa Telehealth CTUMP”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I. Mục đích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Triển khai khám chữa bệnh từ xa Telehealth tại Bệnh viện Trường.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/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Nhóm tác giả của sản phẩm chuyển giao:</w:t>
      </w:r>
      <w: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1. TS. Nguyễn Văn Nam (Khoa CNTT)</w:t>
      </w:r>
      <w: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2. ThS.BS. Lê Thị Thu Hà (Khoa Y)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III. Loại hình sản phẩm chuyển giao công nghệ: Phần mềm ứng dụng y tế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IV. Phương thức chuyển giao: Bàn giao mã nguồn và hướng dẫn thực hành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V. Bên nhận chuyển giao: Bệnh viện Trường ĐH Y Dược Cần Thơ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VI. Thời gian, địa điểm chuyển giao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6.1. Thời gian: 20/10/2026 - 25/11/2026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6.2. Địa điểm: Hội trường Bệnh viện Trường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VII. Chi phí chuyển giao: Không thu phí (kinh phí Trường)</w:t>
      </w:r>
    </w:p>
    <w:p w:rsidR="00AB38B5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II. Ban chỉ đạo – tổ chức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chuyển giao</w:t>
      </w:r>
      <w:r w:rsidR="00AF730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8.1 Ban chỉ đạo: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1. Ban Giám Hiệu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2. Phòng KH&amp;CN</w:t>
      </w:r>
    </w:p>
    <w:tbl>
      <w:tblPr>
        <w:tblStyle w:val="a0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8.2. Ban tổ chức: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1. Khoa CNTT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2. Bệnh viện Trường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8.3. Nhân sự thực hiện: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1. Nhóm tác giả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2. Tổ CNTT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591B5A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>X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r w:rsidR="00EE18FD" w:rsidRPr="00C6742F">
        <w:rPr>
          <w:rFonts w:ascii="Times New Roman" w:eastAsia="Times New Roman" w:hAnsi="Times New Roman" w:cs="Times New Roman"/>
          <w:b/>
          <w:sz w:val="26"/>
          <w:szCs w:val="26"/>
        </w:rPr>
        <w:t>Hội thảo chuyển giao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>(nếu có tổ chức HT</w:t>
      </w:r>
      <w:r w:rsidR="0066520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chuyển giao thì ghi,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nếu không bỏ phần</w:t>
      </w:r>
      <w:r w:rsidR="00411E5C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IX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này)</w:t>
      </w:r>
    </w:p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9.1. Chủ tọa: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Ban Giám Hiệu</w:t>
      </w:r>
    </w:p>
    <w:tbl>
      <w:tblPr>
        <w:tblStyle w:val="a2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9.2. Báo cáo viên: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TS. Nguyễn Văn Nam</w:t>
      </w:r>
    </w:p>
    <w:tbl>
      <w:tblPr>
        <w:tblStyle w:val="a3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9.3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 Chương trình chi tiết của hội thảo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a4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050"/>
        <w:gridCol w:w="3286"/>
      </w:tblGrid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4050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3286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phần</w:t>
            </w: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EE18FD" w:rsidP="00FC3DF7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9.4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Phân công nhiệm vụ 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tổ chức </w:t>
      </w:r>
    </w:p>
    <w:tbl>
      <w:tblPr>
        <w:tblStyle w:val="a5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757"/>
        <w:gridCol w:w="3569"/>
      </w:tblGrid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57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3569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Phụ trách</w:t>
            </w: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C47D7C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9.5. Dự trù kinh phí hội thảo: Theo quy chế chi tiêu nội bộ</w:t>
      </w:r>
    </w:p>
    <w:p w:rsidR="006B58AB" w:rsidRDefault="00287C9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r w:rsidR="0094192E" w:rsidRPr="00C6742F">
        <w:rPr>
          <w:rFonts w:ascii="Times New Roman" w:eastAsia="Times New Roman" w:hAnsi="Times New Roman" w:cs="Times New Roman"/>
          <w:i/>
          <w:sz w:val="26"/>
          <w:szCs w:val="26"/>
        </w:rPr>
        <w:t>Từ nguồn kinh phí của Trường theo quy chế chi tiêu nội bộ</w:t>
      </w: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 hoặc theo thỏa thuận hợp đồng chuyển giao) </w:t>
      </w:r>
    </w:p>
    <w:p w:rsidR="00C75DB3" w:rsidRDefault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</w:t>
      </w:r>
      <w:r w:rsidRPr="00C6742F">
        <w:rPr>
          <w:rFonts w:ascii="Times New Roman" w:hAnsi="Times New Roman" w:cs="Times New Roman"/>
          <w:b/>
          <w:sz w:val="26"/>
          <w:szCs w:val="26"/>
        </w:rPr>
        <w:t>. Quản lý rủi ro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chuyển giao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10.1.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Xác định và đánh giá rủi ro </w:t>
      </w:r>
    </w:p>
    <w:tbl>
      <w:tblPr>
        <w:tblW w:w="94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54"/>
        <w:gridCol w:w="1379"/>
        <w:gridCol w:w="1549"/>
        <w:gridCol w:w="1771"/>
        <w:gridCol w:w="1380"/>
      </w:tblGrid>
      <w:tr w:rsidR="00C75DB3" w:rsidRPr="00C6742F" w:rsidTr="00490916">
        <w:trPr>
          <w:trHeight w:val="822"/>
          <w:tblHeader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/Yếu tố rủi ro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Khả năng xảy ra (P)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ảnh hưởng (S)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rủi ro</w:t>
            </w:r>
          </w:p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R=PxS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 rủi ro</w:t>
            </w:r>
          </w:p>
        </w:tc>
      </w:tr>
      <w:tr w:rsidR="00C75DB3" w:rsidRPr="00C6742F" w:rsidTr="00490916">
        <w:trPr>
          <w:trHeight w:val="49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before="240" w:after="0"/>
        <w:ind w:left="1" w:hanging="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Biện pháp kiểm soát rủi ro</w:t>
      </w:r>
    </w:p>
    <w:tbl>
      <w:tblPr>
        <w:tblW w:w="9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70"/>
        <w:gridCol w:w="1701"/>
        <w:gridCol w:w="1418"/>
        <w:gridCol w:w="1417"/>
        <w:gridCol w:w="1418"/>
        <w:gridCol w:w="1435"/>
      </w:tblGrid>
      <w:tr w:rsidR="00C75DB3" w:rsidRPr="00C6742F" w:rsidTr="00490916">
        <w:trPr>
          <w:trHeight w:val="609"/>
          <w:tblHeader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Yếu tố rủi ro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Biện pháp kiểm soát</w:t>
            </w:r>
          </w:p>
        </w:tc>
        <w:tc>
          <w:tcPr>
            <w:tcW w:w="1418" w:type="dxa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</w:t>
            </w:r>
          </w:p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phụ trách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phối hợp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Sản phẩm</w:t>
            </w: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342AF0" w:rsidRPr="00C6742F" w:rsidRDefault="00342AF0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90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3"/>
        <w:gridCol w:w="2160"/>
        <w:gridCol w:w="3381"/>
      </w:tblGrid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nhận</w:t>
            </w:r>
          </w:p>
        </w:tc>
        <w:tc>
          <w:tcPr>
            <w:tcW w:w="2160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giao</w:t>
            </w:r>
            <w:r w:rsidR="004414E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/Chủ nhiệm đề tài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160" w:type="dxa"/>
          </w:tcPr>
          <w:p w:rsidR="00544692" w:rsidRPr="00C6742F" w:rsidRDefault="004438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</w:tc>
        <w:tc>
          <w:tcPr>
            <w:tcW w:w="3381" w:type="dxa"/>
          </w:tcPr>
          <w:p w:rsidR="00544692" w:rsidRPr="00C6742F" w:rsidRDefault="00D204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Văn Phòng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6"/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6B58AB" w:rsidRPr="00C6742F" w:rsidTr="00B47AAD">
        <w:trPr>
          <w:trHeight w:val="1849"/>
        </w:trPr>
        <w:tc>
          <w:tcPr>
            <w:tcW w:w="3052" w:type="dxa"/>
            <w:vAlign w:val="center"/>
          </w:tcPr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</w:p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(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thêm </w:t>
            </w:r>
            <w:r w:rsidR="00591B5A"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tên tắt 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đơn vị 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CG v nhận CG</w:t>
            </w:r>
            <w:r w:rsidRPr="00342AF0">
              <w:rPr>
                <w:rFonts w:ascii="Times New Roman" w:eastAsia="Times New Roman" w:hAnsi="Times New Roman" w:cs="Times New Roman"/>
              </w:rPr>
              <w:t>);</w:t>
            </w:r>
          </w:p>
          <w:p w:rsidR="00591B5A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</w:t>
            </w:r>
            <w:r w:rsidR="00591B5A" w:rsidRPr="00342AF0">
              <w:rPr>
                <w:rFonts w:ascii="Times New Roman" w:eastAsia="Times New Roman" w:hAnsi="Times New Roman" w:cs="Times New Roman"/>
              </w:rPr>
              <w:t xml:space="preserve"> </w:t>
            </w:r>
            <w:r w:rsidR="00270595">
              <w:rPr>
                <w:rFonts w:ascii="Times New Roman" w:eastAsia="Times New Roman" w:hAnsi="Times New Roman" w:cs="Times New Roman"/>
              </w:rPr>
              <w:t>VP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, TCKT;</w:t>
            </w:r>
          </w:p>
          <w:p w:rsidR="00270595" w:rsidRPr="00342AF0" w:rsidRDefault="00270595" w:rsidP="00270595">
            <w:pPr>
              <w:spacing w:after="0" w:line="276" w:lineRule="auto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 w:rsidRPr="007F00C6">
              <w:rPr>
                <w:rFonts w:ascii="Times New Roman" w:eastAsia="Times New Roman" w:hAnsi="Times New Roman"/>
              </w:rPr>
              <w:t>- TTDV&amp;ĐTTNCXH;</w:t>
            </w:r>
          </w:p>
          <w:p w:rsidR="006B58AB" w:rsidRPr="00342AF0" w:rsidRDefault="00591B5A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Lưu VT</w:t>
            </w:r>
            <w:r w:rsidR="00270595">
              <w:rPr>
                <w:rFonts w:ascii="Times New Roman" w:eastAsia="Times New Roman" w:hAnsi="Times New Roman" w:cs="Times New Roman"/>
              </w:rPr>
              <w:t xml:space="preserve">, </w:t>
            </w:r>
            <w:r w:rsidR="00270595" w:rsidRPr="00342AF0">
              <w:rPr>
                <w:rFonts w:ascii="Times New Roman" w:eastAsia="Times New Roman" w:hAnsi="Times New Roman" w:cs="Times New Roman"/>
              </w:rPr>
              <w:t>KHCN</w:t>
            </w:r>
            <w:r w:rsidRPr="00342AF0">
              <w:rPr>
                <w:rFonts w:ascii="Times New Roman" w:eastAsia="Times New Roman" w:hAnsi="Times New Roman" w:cs="Times New Roman"/>
              </w:rPr>
              <w:t>.</w:t>
            </w:r>
          </w:p>
          <w:p w:rsidR="006B58AB" w:rsidRPr="00342AF0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14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B47AAD" w:rsidRPr="00C6742F" w:rsidRDefault="00B47AAD" w:rsidP="00B47AAD">
      <w:pPr>
        <w:spacing w:after="0" w:line="276" w:lineRule="auto"/>
        <w:ind w:leftChars="0" w:left="0" w:firstLineChars="0" w:firstLine="0"/>
        <w:rPr>
          <w:rFonts w:ascii="Times New Roman" w:eastAsia="Times New Roman" w:hAnsi="Times New Roman" w:cs="Times New Roman"/>
          <w:sz w:val="26"/>
          <w:szCs w:val="26"/>
        </w:rPr>
      </w:pPr>
    </w:p>
    <w:sectPr w:rsidR="00B47AAD" w:rsidRPr="00C67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8" w:right="1138" w:bottom="1138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