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0A351">
      <w:pPr>
        <w:jc w:val="center"/>
        <w:rPr>
          <w:rFonts w:hint="default" w:ascii="DejaVu Sans Mono" w:hAnsi="DejaVu Sans Mono" w:eastAsia="Noto Sans CJK HK DemiLight" w:cs="DejaVu Sans Mono"/>
          <w:b/>
          <w:bCs/>
          <w:sz w:val="32"/>
          <w:szCs w:val="32"/>
          <w:lang w:val="en-US" w:eastAsia="zh-CN"/>
        </w:rPr>
      </w:pPr>
      <w:r>
        <w:rPr>
          <w:rFonts w:hint="default" w:ascii="DejaVu Sans Mono" w:hAnsi="DejaVu Sans Mono" w:eastAsia="Noto Sans CJK HK DemiLight" w:cs="DejaVu Sans Mono"/>
          <w:b/>
          <w:bCs/>
          <w:sz w:val="32"/>
          <w:szCs w:val="32"/>
          <w:lang w:val="en-US" w:eastAsia="zh-CN"/>
        </w:rPr>
        <w:t>24Fall CMU 15-418 Asst1 Report</w:t>
      </w:r>
    </w:p>
    <w:p w14:paraId="738983BC">
      <w:pPr>
        <w:jc w:val="right"/>
        <w:rPr>
          <w:rFonts w:hint="default" w:ascii="DejaVu Sans Mono" w:hAnsi="DejaVu Sans Mono" w:eastAsia="Noto Sans CJK HK DemiLight" w:cs="DejaVu Sans Mono"/>
          <w:sz w:val="18"/>
          <w:szCs w:val="18"/>
          <w:lang w:val="en-US" w:eastAsia="zh-CN"/>
        </w:rPr>
      </w:pPr>
      <w:r>
        <w:rPr>
          <w:rFonts w:hint="default" w:ascii="DejaVu Sans Mono" w:hAnsi="DejaVu Sans Mono" w:eastAsia="Noto Sans CJK HK DemiLight" w:cs="DejaVu Sans Mono"/>
          <w:sz w:val="18"/>
          <w:szCs w:val="18"/>
          <w:lang w:val="en-US" w:eastAsia="zh-CN"/>
        </w:rPr>
        <w:t>Bao Zhuhan 2024.11.07</w:t>
      </w:r>
    </w:p>
    <w:p w14:paraId="638FED57">
      <w:pPr>
        <w:rPr>
          <w:rFonts w:hint="default" w:ascii="DejaVu Sans Mono" w:hAnsi="DejaVu Sans Mono" w:eastAsia="Noto Sans CJK HK DemiLight" w:cs="DejaVu Sans Mono"/>
          <w:lang w:val="en-US" w:eastAsia="zh-CN"/>
        </w:rPr>
      </w:pPr>
    </w:p>
    <w:p w14:paraId="6904BD3A">
      <w:pPr>
        <w:rPr>
          <w:rFonts w:hint="default" w:ascii="DejaVu Sans Mono" w:hAnsi="DejaVu Sans Mono" w:eastAsia="Noto Sans CJK HK DemiLight" w:cs="DejaVu Sans Mono"/>
          <w:sz w:val="28"/>
          <w:szCs w:val="28"/>
          <w:lang w:val="en-US" w:eastAsia="zh-CN"/>
        </w:rPr>
      </w:pPr>
      <w:r>
        <w:rPr>
          <w:rFonts w:hint="default" w:ascii="DejaVu Sans Mono" w:hAnsi="DejaVu Sans Mono" w:eastAsia="Noto Sans CJK HK DemiLight" w:cs="DejaVu Sans Mono"/>
          <w:sz w:val="28"/>
          <w:szCs w:val="28"/>
          <w:lang w:val="en-US" w:eastAsia="zh-CN"/>
        </w:rPr>
        <w:t>Program1</w:t>
      </w:r>
    </w:p>
    <w:p w14:paraId="2C9FD675">
      <w:pPr>
        <w:rPr>
          <w:rFonts w:hint="default" w:ascii="DejaVu Sans Mono" w:hAnsi="DejaVu Sans Mono" w:eastAsia="Noto Sans CJK HK DemiLight" w:cs="DejaVu Sans Mono"/>
          <w:b/>
          <w:bCs/>
          <w:lang w:val="en-US" w:eastAsia="zh-CN"/>
        </w:rPr>
      </w:pPr>
      <w:r>
        <w:rPr>
          <w:rFonts w:hint="default" w:ascii="DejaVu Sans Mono" w:hAnsi="DejaVu Sans Mono" w:eastAsia="Noto Sans CJK HK DemiLight" w:cs="DejaVu Sans Mono"/>
          <w:lang w:val="en-US" w:eastAsia="zh-CN"/>
        </w:rPr>
        <w:t>The program ran successfully. Below is a graph of the number of threads and the time acceleration ratio. For all views, the performance gains become slower as the number of threads increases. The strange thing is that for view6, when the number of threads is 2, the time acceleration ratio will exceed 2, and even reach 2.5~3.</w:t>
      </w:r>
    </w:p>
    <w:p w14:paraId="2C87072F">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drawing>
          <wp:inline distT="0" distB="0" distL="114300" distR="114300">
            <wp:extent cx="5273040" cy="3185160"/>
            <wp:effectExtent l="4445" t="4445" r="10160" b="952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9FAA31B">
      <w:pPr>
        <w:rPr>
          <w:rFonts w:hint="default" w:ascii="DejaVu Sans Mono" w:hAnsi="DejaVu Sans Mono" w:eastAsia="Noto Sans CJK HK DemiLight" w:cs="DejaVu Sans Mono"/>
        </w:rPr>
      </w:pPr>
    </w:p>
    <w:p w14:paraId="16BF2F20">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t>Each thread is assigned a different number of tasks, and in fact there is a clear normal distribution. Ideally, we want to get better performance with an equal number of tasks assigned to each thread.</w:t>
      </w:r>
    </w:p>
    <w:p w14:paraId="22CAFA39">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drawing>
          <wp:inline distT="0" distB="0" distL="114300" distR="114300">
            <wp:extent cx="5229860" cy="3039745"/>
            <wp:effectExtent l="4445" t="4445" r="15875" b="1079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4ED940">
      <w:pPr>
        <w:rPr>
          <w:rFonts w:hint="default" w:ascii="DejaVu Sans Mono" w:hAnsi="DejaVu Sans Mono" w:eastAsia="Noto Sans CJK HK DemiLight" w:cs="DejaVu Sans Mono"/>
        </w:rPr>
      </w:pPr>
    </w:p>
    <w:p w14:paraId="14350FD3">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t>I distribute the workload evenly by spacing the rows of images by the number of threads. Specifically, the number of rows processed by each thread is evenly distributed, avoiding a situation where some threads process more rows and others process fewer rows. The 16-thread parallel acceleration ratio of View1 reached 9.01, and the 16-thread parallel acceleration ratio of View2 reached 7.49.</w:t>
      </w:r>
    </w:p>
    <w:p w14:paraId="63EC9A08">
      <w:pPr>
        <w:rPr>
          <w:rFonts w:hint="default" w:ascii="DejaVu Sans Mono" w:hAnsi="DejaVu Sans Mono" w:eastAsia="Noto Sans CJK HK DemiLight" w:cs="DejaVu Sans Mono"/>
          <w:lang w:val="en-US" w:eastAsia="zh-CN"/>
        </w:rPr>
      </w:pPr>
      <w:r>
        <w:rPr>
          <w:rFonts w:hint="default" w:ascii="DejaVu Sans Mono" w:hAnsi="DejaVu Sans Mono" w:eastAsia="Noto Sans CJK HK DemiLight" w:cs="DejaVu Sans Mono"/>
        </w:rPr>
        <w:drawing>
          <wp:inline distT="0" distB="0" distL="114300" distR="114300">
            <wp:extent cx="5273675" cy="2234565"/>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5273675" cy="2234565"/>
                    </a:xfrm>
                    <a:prstGeom prst="rect">
                      <a:avLst/>
                    </a:prstGeom>
                    <a:noFill/>
                    <a:ln>
                      <a:noFill/>
                    </a:ln>
                  </pic:spPr>
                </pic:pic>
              </a:graphicData>
            </a:graphic>
          </wp:inline>
        </w:drawing>
      </w:r>
    </w:p>
    <w:p w14:paraId="46F6580E">
      <w:pPr>
        <w:rPr>
          <w:rFonts w:hint="default" w:ascii="DejaVu Sans Mono" w:hAnsi="DejaVu Sans Mono" w:eastAsia="Noto Sans CJK HK DemiLight" w:cs="DejaVu Sans Mono"/>
          <w:sz w:val="28"/>
          <w:szCs w:val="28"/>
          <w:lang w:val="en-US" w:eastAsia="zh-CN"/>
        </w:rPr>
      </w:pPr>
      <w:r>
        <w:rPr>
          <w:rFonts w:hint="default" w:ascii="DejaVu Sans Mono" w:hAnsi="DejaVu Sans Mono" w:eastAsia="Noto Sans CJK HK DemiLight" w:cs="DejaVu Sans Mono"/>
          <w:sz w:val="28"/>
          <w:szCs w:val="28"/>
          <w:lang w:val="en-US" w:eastAsia="zh-CN"/>
        </w:rPr>
        <w:t>Program2</w:t>
      </w:r>
    </w:p>
    <w:p w14:paraId="152ABE06">
      <w:pPr>
        <w:rPr>
          <w:rFonts w:hint="default" w:ascii="DejaVu Sans Mono" w:hAnsi="DejaVu Sans Mono" w:eastAsia="Noto Sans CJK HK DemiLight" w:cs="DejaVu Sans Mono"/>
          <w:lang w:val="en-US" w:eastAsia="zh-CN"/>
        </w:rPr>
      </w:pPr>
      <w:r>
        <w:rPr>
          <w:rFonts w:hint="default" w:ascii="DejaVu Sans Mono" w:hAnsi="DejaVu Sans Mono" w:eastAsia="Noto Sans CJK HK DemiLight" w:cs="DejaVu Sans Mono"/>
          <w:lang w:val="en-US" w:eastAsia="zh-CN"/>
        </w:rPr>
        <w:t>My program executed successfully and matched the expected output. The vector unit statistics show high efficiency with a vector utilization rate of 89.65%. The result verification passed, confirming the correctness of my implementation. Additionally, the array sum (bonus) test also passed, demonstrating the accuracy of my array sum function. Overall, my implementation is both correct and efficient.</w:t>
      </w:r>
    </w:p>
    <w:p w14:paraId="5B9E1854">
      <w:pPr>
        <w:rPr>
          <w:rFonts w:hint="default" w:ascii="DejaVu Sans Mono" w:hAnsi="DejaVu Sans Mono" w:eastAsia="Noto Sans CJK HK DemiLight" w:cs="DejaVu Sans Mono"/>
          <w:lang w:val="en-US" w:eastAsia="zh-CN"/>
        </w:rPr>
      </w:pPr>
    </w:p>
    <w:p w14:paraId="2BCB38E9">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drawing>
          <wp:inline distT="0" distB="0" distL="114300" distR="114300">
            <wp:extent cx="5271770" cy="200850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271770" cy="2008505"/>
                    </a:xfrm>
                    <a:prstGeom prst="rect">
                      <a:avLst/>
                    </a:prstGeom>
                    <a:noFill/>
                    <a:ln>
                      <a:noFill/>
                    </a:ln>
                  </pic:spPr>
                </pic:pic>
              </a:graphicData>
            </a:graphic>
          </wp:inline>
        </w:drawing>
      </w:r>
    </w:p>
    <w:p w14:paraId="75550603">
      <w:pPr>
        <w:rPr>
          <w:rFonts w:hint="default" w:ascii="DejaVu Sans Mono" w:hAnsi="DejaVu Sans Mono" w:eastAsia="Noto Sans CJK HK DemiLight" w:cs="DejaVu Sans Mono"/>
        </w:rPr>
      </w:pPr>
    </w:p>
    <w:p w14:paraId="2414DFF3">
      <w:pPr>
        <w:rPr>
          <w:rFonts w:hint="default" w:ascii="DejaVu Sans Mono" w:hAnsi="DejaVu Sans Mono" w:eastAsia="Noto Sans CJK HK DemiLight" w:cs="DejaVu Sans Mono"/>
        </w:rPr>
      </w:pPr>
      <w:r>
        <w:rPr>
          <w:rFonts w:hint="default" w:ascii="DejaVu Sans Mono" w:hAnsi="DejaVu Sans Mono" w:eastAsia="Noto Sans CJK HK DemiLight" w:cs="DejaVu Sans Mono"/>
        </w:rPr>
        <w:t>The decline in vector utilisation is due to factors such as data alignment and boundary effects, but the change is small (about 2%), indicating that my implementation has become relatively efficient. The utilisation rate is less sensitive to the width of the vector, which means that my data and computing tasks are more evenly distributed, and the vectorisation overhead is low.</w:t>
      </w:r>
    </w:p>
    <w:p w14:paraId="54B56AE1">
      <w:pPr>
        <w:rPr>
          <w:rFonts w:hint="default" w:ascii="DejaVu Sans Mono" w:hAnsi="DejaVu Sans Mono" w:eastAsia="Noto Sans CJK HK DemiLight" w:cs="DejaVu Sans Mono"/>
        </w:rPr>
      </w:pPr>
    </w:p>
    <w:p w14:paraId="372C4C03">
      <w:pPr>
        <w:jc w:val="center"/>
      </w:pPr>
      <w:r>
        <w:drawing>
          <wp:inline distT="0" distB="0" distL="114300" distR="114300">
            <wp:extent cx="4831080" cy="2743200"/>
            <wp:effectExtent l="4445" t="4445" r="15875" b="10795"/>
            <wp:docPr id="5"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F09E55">
      <w:pPr>
        <w:jc w:val="center"/>
      </w:pPr>
    </w:p>
    <w:p w14:paraId="2D3ECCBD">
      <w:pPr>
        <w:jc w:val="both"/>
      </w:pPr>
      <w:r>
        <w:rPr>
          <w:rFonts w:hint="eastAsia"/>
        </w:rPr>
        <w:t>As the vector width increases, the total number of vector instructions slowly increases</w:t>
      </w:r>
    </w:p>
    <w:p w14:paraId="7F54A36A">
      <w:pPr>
        <w:jc w:val="center"/>
        <w:rPr>
          <w:rFonts w:hint="default"/>
        </w:rPr>
      </w:pPr>
      <w:r>
        <w:drawing>
          <wp:inline distT="0" distB="0" distL="114300" distR="114300">
            <wp:extent cx="4831080" cy="2743200"/>
            <wp:effectExtent l="4445" t="4445" r="15875" b="10795"/>
            <wp:docPr id="6"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F63C62">
      <w:pPr>
        <w:jc w:val="center"/>
        <w:rPr>
          <w:rFonts w:hint="default" w:ascii="DejaVu Sans Mono" w:hAnsi="DejaVu Sans Mono" w:eastAsia="Noto Sans CJK HK DemiLight" w:cs="DejaVu Sans Mono"/>
        </w:rPr>
      </w:pPr>
    </w:p>
    <w:p w14:paraId="35689024">
      <w:pPr>
        <w:rPr>
          <w:rFonts w:hint="default" w:ascii="DejaVu Sans Mono" w:hAnsi="DejaVu Sans Mono" w:eastAsia="Noto Sans CJK HK DemiLight" w:cs="DejaVu Sans Mono"/>
          <w:sz w:val="28"/>
          <w:szCs w:val="28"/>
          <w:lang w:val="en-US" w:eastAsia="zh-CN"/>
        </w:rPr>
      </w:pPr>
      <w:r>
        <w:rPr>
          <w:rFonts w:hint="default" w:ascii="DejaVu Sans Mono" w:hAnsi="DejaVu Sans Mono" w:eastAsia="Noto Sans CJK HK DemiLight" w:cs="DejaVu Sans Mono"/>
          <w:sz w:val="28"/>
          <w:szCs w:val="28"/>
          <w:lang w:val="en-US" w:eastAsia="zh-CN"/>
        </w:rPr>
        <w:t>Program3</w:t>
      </w:r>
    </w:p>
    <w:p w14:paraId="635E809D">
      <w:pPr>
        <w:rPr>
          <w:rFonts w:hint="eastAsia" w:ascii="DejaVu Sans Mono" w:hAnsi="DejaVu Sans Mono" w:eastAsia="Noto Sans CJK HK DemiLight" w:cs="DejaVu Sans Mono"/>
          <w:sz w:val="21"/>
          <w:szCs w:val="21"/>
          <w:lang w:val="en-US" w:eastAsia="zh-CN"/>
        </w:rPr>
      </w:pPr>
      <w:r>
        <w:rPr>
          <w:rFonts w:hint="eastAsia" w:ascii="DejaVu Sans Mono" w:hAnsi="DejaVu Sans Mono" w:eastAsia="Noto Sans CJK HK DemiLight" w:cs="DejaVu Sans Mono"/>
          <w:sz w:val="21"/>
          <w:szCs w:val="21"/>
          <w:lang w:val="en-US" w:eastAsia="zh-CN"/>
        </w:rPr>
        <w:t>Baseline</w:t>
      </w:r>
    </w:p>
    <w:p w14:paraId="420FBB18">
      <w:r>
        <w:drawing>
          <wp:inline distT="0" distB="0" distL="114300" distR="114300">
            <wp:extent cx="5271770" cy="923925"/>
            <wp:effectExtent l="0" t="0" r="1270"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1770" cy="923925"/>
                    </a:xfrm>
                    <a:prstGeom prst="rect">
                      <a:avLst/>
                    </a:prstGeom>
                    <a:noFill/>
                    <a:ln>
                      <a:noFill/>
                    </a:ln>
                  </pic:spPr>
                </pic:pic>
              </a:graphicData>
            </a:graphic>
          </wp:inline>
        </w:drawing>
      </w:r>
    </w:p>
    <w:p w14:paraId="2F861DDD">
      <w:pPr>
        <w:rPr>
          <w:rFonts w:hint="default"/>
          <w:b/>
          <w:bCs/>
          <w:lang w:val="en-US" w:eastAsia="zh-CN"/>
        </w:rPr>
      </w:pPr>
    </w:p>
    <w:p w14:paraId="09C7A357">
      <w:pPr>
        <w:rPr>
          <w:rFonts w:hint="default"/>
          <w:lang w:val="en-US" w:eastAsia="zh-CN"/>
        </w:rPr>
      </w:pPr>
      <w:r>
        <w:rPr>
          <w:rFonts w:hint="default"/>
          <w:b/>
          <w:bCs/>
          <w:lang w:val="en-US" w:eastAsia="zh-CN"/>
        </w:rPr>
        <w:t>3.1  Problem 3, Part 1. A Few ISPC Basics</w:t>
      </w:r>
      <w:r>
        <w:rPr>
          <w:rFonts w:hint="default"/>
          <w:lang w:val="en-US" w:eastAsia="zh-CN"/>
        </w:rPr>
        <w:t xml:space="preserve"> </w:t>
      </w:r>
    </w:p>
    <w:p w14:paraId="22C18E17">
      <w:pPr>
        <w:rPr>
          <w:rFonts w:hint="eastAsia"/>
          <w:lang w:val="en-US" w:eastAsia="zh-CN"/>
        </w:rPr>
      </w:pPr>
      <w:r>
        <w:rPr>
          <w:rFonts w:hint="eastAsia"/>
          <w:lang w:val="en-US" w:eastAsia="zh-CN"/>
        </w:rPr>
        <w:t>1. Ideally, an ISPC compiler using 8-wide AVX2 vector instructions can achieve up to 8x speedup, as each SIMD instruction can process 8 data elements simultaneously.In fact, only 4.96 times the acceleration was achieved.</w:t>
      </w:r>
    </w:p>
    <w:p w14:paraId="4F6BD603">
      <w:pPr>
        <w:rPr>
          <w:rFonts w:hint="eastAsia"/>
          <w:lang w:val="en-US" w:eastAsia="zh-CN"/>
        </w:rPr>
      </w:pPr>
      <w:r>
        <w:rPr>
          <w:rFonts w:hint="eastAsia"/>
          <w:lang w:val="en-US" w:eastAsia="zh-CN"/>
        </w:rPr>
        <w:t>2. The main reasons include: I. Load imbalance causes some processors in the SIMD unit to be idle, which reduces the overall efficiency. II. Discontinuous or misaligned memory access patterns can cause cache misses and memory access delays, impacting performance.</w:t>
      </w:r>
    </w:p>
    <w:p w14:paraId="638F74CE">
      <w:pPr>
        <w:rPr>
          <w:rFonts w:hint="eastAsia"/>
          <w:lang w:val="en-US" w:eastAsia="zh-CN"/>
        </w:rPr>
      </w:pPr>
    </w:p>
    <w:p w14:paraId="5654D14B">
      <w:pPr>
        <w:rPr>
          <w:rFonts w:hint="default"/>
          <w:lang w:val="en-US" w:eastAsia="zh-CN"/>
        </w:rPr>
      </w:pPr>
      <w:r>
        <w:rPr>
          <w:rFonts w:hint="default"/>
          <w:b/>
          <w:bCs/>
          <w:lang w:val="en-US" w:eastAsia="zh-CN"/>
        </w:rPr>
        <w:t>3.2  Problem 3, Part 2: ISPC Tasks</w:t>
      </w:r>
      <w:r>
        <w:rPr>
          <w:rFonts w:hint="default"/>
          <w:lang w:val="en-US" w:eastAsia="zh-CN"/>
        </w:rPr>
        <w:t xml:space="preserve"> </w:t>
      </w:r>
    </w:p>
    <w:p w14:paraId="0BB0FBDD">
      <w:pPr>
        <w:rPr>
          <w:rFonts w:hint="eastAsia"/>
          <w:lang w:val="en-US" w:eastAsia="zh-CN"/>
        </w:rPr>
      </w:pPr>
      <w:r>
        <w:rPr>
          <w:rFonts w:hint="eastAsia"/>
          <w:lang w:val="en-US" w:eastAsia="zh-CN"/>
        </w:rPr>
        <w:t xml:space="preserve">1. Baseline : </w:t>
      </w:r>
      <w:r>
        <w:rPr>
          <w:rFonts w:hint="default"/>
          <w:lang w:val="en-US" w:eastAsia="zh-CN"/>
        </w:rPr>
        <w:t>4.97x speedup from ISPC</w:t>
      </w:r>
      <w:r>
        <w:rPr>
          <w:rFonts w:hint="eastAsia"/>
          <w:lang w:val="en-US" w:eastAsia="zh-CN"/>
        </w:rPr>
        <w:t xml:space="preserve">, </w:t>
      </w:r>
      <w:r>
        <w:rPr>
          <w:rFonts w:hint="default"/>
          <w:lang w:val="en-US" w:eastAsia="zh-CN"/>
        </w:rPr>
        <w:t>9.89x speedup from task ISPC</w:t>
      </w:r>
      <w:r>
        <w:rPr>
          <w:rFonts w:hint="eastAsia"/>
          <w:lang w:val="en-US" w:eastAsia="zh-CN"/>
        </w:rPr>
        <w:t>.</w:t>
      </w:r>
    </w:p>
    <w:p w14:paraId="25287BEA">
      <w:pPr>
        <w:rPr>
          <w:rFonts w:hint="default"/>
          <w:lang w:val="en-US" w:eastAsia="zh-CN"/>
        </w:rPr>
      </w:pPr>
      <w:r>
        <w:rPr>
          <w:rFonts w:hint="eastAsia"/>
          <w:lang w:val="en-US" w:eastAsia="zh-CN"/>
        </w:rPr>
        <w:t>2. Update: By setting the number of tasks to the same as the number of cores, a performance improvement of nearly 20 times was obtained.</w:t>
      </w:r>
      <w:bookmarkStart w:id="0" w:name="_GoBack"/>
      <w:bookmarkEnd w:id="0"/>
    </w:p>
    <w:p w14:paraId="6EE6C6BF">
      <w:pPr>
        <w:rPr>
          <w:rFonts w:hint="default"/>
          <w:lang w:val="en-US" w:eastAsia="zh-CN"/>
        </w:rPr>
      </w:pPr>
      <w:r>
        <w:drawing>
          <wp:inline distT="0" distB="0" distL="114300" distR="114300">
            <wp:extent cx="5270500" cy="1374775"/>
            <wp:effectExtent l="0" t="0" r="2540" b="1206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0500" cy="1374775"/>
                    </a:xfrm>
                    <a:prstGeom prst="rect">
                      <a:avLst/>
                    </a:prstGeom>
                    <a:noFill/>
                    <a:ln>
                      <a:noFill/>
                    </a:ln>
                  </pic:spPr>
                </pic:pic>
              </a:graphicData>
            </a:graphic>
          </wp:inline>
        </w:drawing>
      </w:r>
    </w:p>
    <w:p w14:paraId="1D0D5756">
      <w:pPr>
        <w:rPr>
          <w:rFonts w:hint="eastAsia" w:ascii="DejaVu Sans Mono" w:hAnsi="DejaVu Sans Mono" w:eastAsia="Noto Sans CJK HK DemiLight" w:cs="DejaVu Sans Mono"/>
          <w:sz w:val="28"/>
          <w:szCs w:val="28"/>
          <w:lang w:val="en-US" w:eastAsia="zh-CN"/>
        </w:rPr>
      </w:pPr>
      <w:r>
        <w:rPr>
          <w:rFonts w:hint="eastAsia" w:ascii="DejaVu Sans Mono" w:hAnsi="DejaVu Sans Mono" w:eastAsia="Noto Sans CJK HK DemiLight" w:cs="DejaVu Sans Mono"/>
          <w:sz w:val="28"/>
          <w:szCs w:val="28"/>
          <w:lang w:val="en-US" w:eastAsia="zh-CN"/>
        </w:rPr>
        <w:t>Program4</w:t>
      </w:r>
    </w:p>
    <w:p w14:paraId="26D9BE3F">
      <w:pPr>
        <w:rPr>
          <w:rFonts w:hint="default" w:ascii="DejaVu Sans Mono" w:hAnsi="DejaVu Sans Mono" w:eastAsia="Noto Sans CJK HK DemiLight" w:cs="DejaVu Sans Mono"/>
          <w:sz w:val="28"/>
          <w:szCs w:val="28"/>
          <w:lang w:val="en-US" w:eastAsia="zh-CN"/>
        </w:rPr>
      </w:pPr>
    </w:p>
    <w:p w14:paraId="04502267">
      <w:pPr>
        <w:rPr>
          <w:rFonts w:hint="default" w:ascii="DejaVu Sans Mono" w:hAnsi="DejaVu Sans Mono" w:eastAsia="Noto Sans CJK HK DemiLight" w:cs="DejaVu Sans Mono"/>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Noto Color Emoji"/>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Noto Color Emoji"/>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Noto Sans CJK HK DemiLight">
    <w:panose1 w:val="020B0400000000000000"/>
    <w:charset w:val="88"/>
    <w:family w:val="auto"/>
    <w:pitch w:val="default"/>
    <w:sig w:usb0="30000083" w:usb1="2BDF3C10" w:usb2="00000016" w:usb3="00000000" w:csb0="603A0107"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733D3"/>
    <w:rsid w:val="367F1E55"/>
    <w:rsid w:val="57B35DAA"/>
    <w:rsid w:val="76091492"/>
    <w:rsid w:val="7E8FEAC4"/>
    <w:rsid w:val="BBD904D8"/>
    <w:rsid w:val="D7F733D3"/>
    <w:rsid w:val="EF7EFB78"/>
    <w:rsid w:val="F77F8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altLang="en-US"/>
              <a:t>Graph of the threads versus the</a:t>
            </a:r>
            <a:r>
              <a:rPr lang="en-US" altLang="zh-CN"/>
              <a:t> </a:t>
            </a:r>
            <a:r>
              <a:rPr altLang="en-US"/>
              <a:t>ratio</a:t>
            </a:r>
            <a:endParaRPr altLang="en-US"/>
          </a:p>
        </c:rich>
      </c:tx>
      <c:layout/>
      <c:overlay val="0"/>
      <c:spPr>
        <a:noFill/>
        <a:ln>
          <a:noFill/>
        </a:ln>
        <a:effectLst/>
      </c:spPr>
    </c:title>
    <c:autoTitleDeleted val="0"/>
    <c:plotArea>
      <c:layout/>
      <c:lineChart>
        <c:grouping val="standard"/>
        <c:varyColors val="0"/>
        <c:ser>
          <c:idx val="0"/>
          <c:order val="0"/>
          <c:tx>
            <c:strRef>
              <c:f>[工作簿1]Sheet1!$B$1</c:f>
              <c:strCache>
                <c:ptCount val="1"/>
                <c:pt idx="0">
                  <c:v>Veiw1</c:v>
                </c:pt>
              </c:strCache>
            </c:strRef>
          </c:tx>
          <c:spPr>
            <a:ln w="28575" cap="rnd">
              <a:solidFill>
                <a:srgbClr val="4874CB"/>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[工作簿1]Sheet1!$B$2:$B$5</c:f>
              <c:numCache>
                <c:formatCode>General</c:formatCode>
                <c:ptCount val="4"/>
                <c:pt idx="0">
                  <c:v>1.98</c:v>
                </c:pt>
                <c:pt idx="1">
                  <c:v>2.46</c:v>
                </c:pt>
                <c:pt idx="2">
                  <c:v>4.12</c:v>
                </c:pt>
                <c:pt idx="3">
                  <c:v>7.48</c:v>
                </c:pt>
              </c:numCache>
            </c:numRef>
          </c:val>
          <c:smooth val="0"/>
        </c:ser>
        <c:ser>
          <c:idx val="1"/>
          <c:order val="1"/>
          <c:tx>
            <c:strRef>
              <c:f>[工作簿1]Sheet1!$C$1</c:f>
              <c:strCache>
                <c:ptCount val="1"/>
                <c:pt idx="0">
                  <c:v>View2</c:v>
                </c:pt>
              </c:strCache>
            </c:strRef>
          </c:tx>
          <c:spPr>
            <a:ln w="28575" cap="rnd">
              <a:solidFill>
                <a:srgbClr val="EE822F"/>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[工作簿1]Sheet1!$C$2:$C$5</c:f>
              <c:numCache>
                <c:formatCode>General</c:formatCode>
                <c:ptCount val="4"/>
                <c:pt idx="0">
                  <c:v>1.67</c:v>
                </c:pt>
                <c:pt idx="1">
                  <c:v>2.47</c:v>
                </c:pt>
                <c:pt idx="2">
                  <c:v>4.31</c:v>
                </c:pt>
                <c:pt idx="3">
                  <c:v>6.99</c:v>
                </c:pt>
              </c:numCache>
            </c:numRef>
          </c:val>
          <c:smooth val="0"/>
        </c:ser>
        <c:ser>
          <c:idx val="2"/>
          <c:order val="2"/>
          <c:tx>
            <c:strRef>
              <c:f>[工作簿1]Sheet1!$D$1</c:f>
              <c:strCache>
                <c:ptCount val="1"/>
                <c:pt idx="0">
                  <c:v>View3</c:v>
                </c:pt>
              </c:strCache>
            </c:strRef>
          </c:tx>
          <c:spPr>
            <a:ln w="28575" cap="rnd">
              <a:solidFill>
                <a:srgbClr val="F2BA02"/>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[工作簿1]Sheet1!$D$2:$D$5</c:f>
              <c:numCache>
                <c:formatCode>General</c:formatCode>
                <c:ptCount val="4"/>
                <c:pt idx="0">
                  <c:v>1.45</c:v>
                </c:pt>
                <c:pt idx="1">
                  <c:v>2.54</c:v>
                </c:pt>
                <c:pt idx="2">
                  <c:v>4.64</c:v>
                </c:pt>
                <c:pt idx="3">
                  <c:v>6.07</c:v>
                </c:pt>
              </c:numCache>
            </c:numRef>
          </c:val>
          <c:smooth val="0"/>
        </c:ser>
        <c:ser>
          <c:idx val="3"/>
          <c:order val="3"/>
          <c:tx>
            <c:strRef>
              <c:f>[工作簿1]Sheet1!$E$1</c:f>
              <c:strCache>
                <c:ptCount val="1"/>
                <c:pt idx="0">
                  <c:v>View4</c:v>
                </c:pt>
              </c:strCache>
            </c:strRef>
          </c:tx>
          <c:spPr>
            <a:ln w="28575" cap="rnd">
              <a:solidFill>
                <a:srgbClr val="75BD42"/>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[工作簿1]Sheet1!$E$2:$E$5</c:f>
              <c:numCache>
                <c:formatCode>General</c:formatCode>
                <c:ptCount val="4"/>
                <c:pt idx="0">
                  <c:v>1.71</c:v>
                </c:pt>
                <c:pt idx="1">
                  <c:v>3.04</c:v>
                </c:pt>
                <c:pt idx="2">
                  <c:v>5.82</c:v>
                </c:pt>
                <c:pt idx="3">
                  <c:v>7.63</c:v>
                </c:pt>
              </c:numCache>
            </c:numRef>
          </c:val>
          <c:smooth val="0"/>
        </c:ser>
        <c:ser>
          <c:idx val="4"/>
          <c:order val="4"/>
          <c:tx>
            <c:strRef>
              <c:f>[工作簿1]Sheet1!$F$1</c:f>
              <c:strCache>
                <c:ptCount val="1"/>
                <c:pt idx="0">
                  <c:v>View5</c:v>
                </c:pt>
              </c:strCache>
            </c:strRef>
          </c:tx>
          <c:spPr>
            <a:ln w="28575" cap="rnd">
              <a:solidFill>
                <a:srgbClr val="30C0B4"/>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[工作簿1]Sheet1!$F$2:$F$5</c:f>
              <c:numCache>
                <c:formatCode>General</c:formatCode>
                <c:ptCount val="4"/>
                <c:pt idx="0">
                  <c:v>1.95</c:v>
                </c:pt>
                <c:pt idx="1">
                  <c:v>2.68</c:v>
                </c:pt>
                <c:pt idx="2">
                  <c:v>3.88</c:v>
                </c:pt>
                <c:pt idx="3">
                  <c:v>5.29</c:v>
                </c:pt>
              </c:numCache>
            </c:numRef>
          </c:val>
          <c:smooth val="0"/>
        </c:ser>
        <c:ser>
          <c:idx val="5"/>
          <c:order val="5"/>
          <c:tx>
            <c:strRef>
              <c:f>[工作簿1]Sheet1!$G$1</c:f>
              <c:strCache>
                <c:ptCount val="1"/>
                <c:pt idx="0">
                  <c:v>View6</c:v>
                </c:pt>
              </c:strCache>
            </c:strRef>
          </c:tx>
          <c:spPr>
            <a:ln w="28575" cap="rnd">
              <a:solidFill>
                <a:srgbClr val="E54C5E"/>
              </a:solidFill>
              <a:round/>
            </a:ln>
            <a:effectLst/>
          </c:spPr>
          <c:marker>
            <c:symbol val="none"/>
          </c:marker>
          <c:dLbls>
            <c:delete val="1"/>
          </c:dLbls>
          <c:cat>
            <c:numRef>
              <c:f>[工作簿1]Sheet1!$A$2:$A$5</c:f>
              <c:numCache>
                <c:formatCode>General</c:formatCode>
                <c:ptCount val="4"/>
                <c:pt idx="0">
                  <c:v>2</c:v>
                </c:pt>
                <c:pt idx="1">
                  <c:v>4</c:v>
                </c:pt>
                <c:pt idx="2">
                  <c:v>8</c:v>
                </c:pt>
                <c:pt idx="3">
                  <c:v>16</c:v>
                </c:pt>
              </c:numCache>
            </c:numRef>
          </c:cat>
          <c:val>
            <c:numRef>
              <c:f>[工作簿1]Sheet1!$G$2:$G$5</c:f>
              <c:numCache>
                <c:formatCode>General</c:formatCode>
                <c:ptCount val="4"/>
                <c:pt idx="0">
                  <c:v>2.55</c:v>
                </c:pt>
                <c:pt idx="1">
                  <c:v>3.6</c:v>
                </c:pt>
                <c:pt idx="2">
                  <c:v>6.47</c:v>
                </c:pt>
                <c:pt idx="3">
                  <c:v>8.96</c:v>
                </c:pt>
              </c:numCache>
            </c:numRef>
          </c:val>
          <c:smooth val="0"/>
        </c:ser>
        <c:dLbls>
          <c:showLegendKey val="0"/>
          <c:showVal val="0"/>
          <c:showCatName val="0"/>
          <c:showSerName val="0"/>
          <c:showPercent val="0"/>
          <c:showBubbleSize val="0"/>
        </c:dLbls>
        <c:marker val="0"/>
        <c:smooth val="0"/>
        <c:axId val="884870555"/>
        <c:axId val="308246863"/>
      </c:lineChart>
      <c:catAx>
        <c:axId val="884870555"/>
        <c:scaling>
          <c:orientation val="minMax"/>
        </c:scaling>
        <c:delete val="0"/>
        <c:axPos val="b"/>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308246863"/>
        <c:crosses val="autoZero"/>
        <c:auto val="1"/>
        <c:lblAlgn val="ctr"/>
        <c:lblOffset val="100"/>
        <c:noMultiLvlLbl val="0"/>
      </c:catAx>
      <c:valAx>
        <c:axId val="308246863"/>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en-US" altLang="zh-CN"/>
                  <a:t>Speedup Ratio</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884870555"/>
        <c:crosses val="autoZero"/>
        <c:crossBetween val="between"/>
      </c:valAx>
      <c:dTable>
        <c:showHorzBorder val="1"/>
        <c:showVertBorder val="1"/>
        <c:showOutline val="1"/>
        <c:showKeys val="1"/>
        <c:spPr>
          <a:noFill/>
          <a:ln w="9525" cap="flat" cmpd="sng" algn="ctr">
            <a:solidFill>
              <a:srgbClr val="D9D9D9">
                <a:lumMod val="15000"/>
                <a:lumOff val="85000"/>
              </a:srgbClr>
            </a:solidFill>
            <a:round/>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dTable>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rgbClr val="404040">
                    <a:lumMod val="75000"/>
                    <a:lumOff val="25000"/>
                  </a:srgbClr>
                </a:solidFill>
                <a:latin typeface="+mn-lt"/>
                <a:ea typeface="+mn-ea"/>
                <a:cs typeface="+mn-cs"/>
              </a:defRPr>
            </a:pPr>
            <a:r>
              <a:rPr lang="en-US" altLang="zh-CN"/>
              <a:t>Thread timing result on View1</a:t>
            </a:r>
            <a:endParaRPr lang="en-US" altLang="zh-CN"/>
          </a:p>
        </c:rich>
      </c:tx>
      <c:layout/>
      <c:overlay val="0"/>
      <c:spPr>
        <a:noFill/>
        <a:ln>
          <a:noFill/>
        </a:ln>
        <a:effectLst/>
      </c:spPr>
    </c:title>
    <c:autoTitleDeleted val="0"/>
    <c:plotArea>
      <c:layout/>
      <c:lineChart>
        <c:grouping val="standard"/>
        <c:varyColors val="0"/>
        <c:ser>
          <c:idx val="0"/>
          <c:order val="0"/>
          <c:tx>
            <c:strRef>
              <c:f>[工作簿1]Sheet2!$B$1</c:f>
              <c:strCache>
                <c:ptCount val="1"/>
                <c:pt idx="0">
                  <c:v>2</c:v>
                </c:pt>
              </c:strCache>
            </c:strRef>
          </c:tx>
          <c:spPr>
            <a:ln w="28575" cap="rnd">
              <a:solidFill>
                <a:srgbClr val="4874CB"/>
              </a:solidFill>
              <a:round/>
            </a:ln>
            <a:effectLst/>
          </c:spPr>
          <c:marker>
            <c:symbol val="none"/>
          </c:marker>
          <c:dLbls>
            <c:delete val="1"/>
          </c:dLbls>
          <c:cat>
            <c:numRef>
              <c:f>[工作簿1]Sheet2!$A$2:$A$17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[工作簿1]Sheet2!$B$2:$B$17</c:f>
              <c:numCache>
                <c:formatCode>General</c:formatCode>
                <c:ptCount val="16"/>
                <c:pt idx="0">
                  <c:v>91.411</c:v>
                </c:pt>
                <c:pt idx="1">
                  <c:v>91.833</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numCache>
            </c:numRef>
          </c:val>
          <c:smooth val="0"/>
        </c:ser>
        <c:ser>
          <c:idx val="1"/>
          <c:order val="1"/>
          <c:tx>
            <c:strRef>
              <c:f>[工作簿1]Sheet2!$C$1</c:f>
              <c:strCache>
                <c:ptCount val="1"/>
                <c:pt idx="0">
                  <c:v>4</c:v>
                </c:pt>
              </c:strCache>
            </c:strRef>
          </c:tx>
          <c:spPr>
            <a:ln w="28575" cap="rnd">
              <a:solidFill>
                <a:srgbClr val="EE822F"/>
              </a:solidFill>
              <a:round/>
            </a:ln>
            <a:effectLst/>
          </c:spPr>
          <c:marker>
            <c:symbol val="none"/>
          </c:marker>
          <c:dLbls>
            <c:delete val="1"/>
          </c:dLbls>
          <c:cat>
            <c:numRef>
              <c:f>[工作簿1]Sheet2!$A$2:$A$17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[工作簿1]Sheet2!$C$2:$C$17</c:f>
              <c:numCache>
                <c:formatCode>General</c:formatCode>
                <c:ptCount val="16"/>
                <c:pt idx="0">
                  <c:v>17.293</c:v>
                </c:pt>
                <c:pt idx="1">
                  <c:v>73.846</c:v>
                </c:pt>
                <c:pt idx="2">
                  <c:v>74.241</c:v>
                </c:pt>
                <c:pt idx="3">
                  <c:v>17.691</c:v>
                </c:pt>
                <c:pt idx="4">
                  <c:v>0</c:v>
                </c:pt>
                <c:pt idx="5">
                  <c:v>0</c:v>
                </c:pt>
                <c:pt idx="6">
                  <c:v>0</c:v>
                </c:pt>
                <c:pt idx="7">
                  <c:v>0</c:v>
                </c:pt>
                <c:pt idx="8">
                  <c:v>0</c:v>
                </c:pt>
                <c:pt idx="9">
                  <c:v>0</c:v>
                </c:pt>
                <c:pt idx="10">
                  <c:v>0</c:v>
                </c:pt>
                <c:pt idx="11">
                  <c:v>0</c:v>
                </c:pt>
                <c:pt idx="12">
                  <c:v>0</c:v>
                </c:pt>
                <c:pt idx="13">
                  <c:v>0</c:v>
                </c:pt>
                <c:pt idx="14">
                  <c:v>0</c:v>
                </c:pt>
                <c:pt idx="15">
                  <c:v>0</c:v>
                </c:pt>
              </c:numCache>
            </c:numRef>
          </c:val>
          <c:smooth val="0"/>
        </c:ser>
        <c:ser>
          <c:idx val="2"/>
          <c:order val="2"/>
          <c:tx>
            <c:strRef>
              <c:f>[工作簿1]Sheet2!$D$1</c:f>
              <c:strCache>
                <c:ptCount val="1"/>
                <c:pt idx="0">
                  <c:v>8</c:v>
                </c:pt>
              </c:strCache>
            </c:strRef>
          </c:tx>
          <c:spPr>
            <a:ln w="28575" cap="rnd">
              <a:solidFill>
                <a:srgbClr val="F2BA02"/>
              </a:solidFill>
              <a:round/>
            </a:ln>
            <a:effectLst/>
          </c:spPr>
          <c:marker>
            <c:symbol val="none"/>
          </c:marker>
          <c:dLbls>
            <c:delete val="1"/>
          </c:dLbls>
          <c:cat>
            <c:numRef>
              <c:f>[工作簿1]Sheet2!$A$2:$A$17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[工作簿1]Sheet2!$D$2:$D$17</c:f>
              <c:numCache>
                <c:formatCode>General</c:formatCode>
                <c:ptCount val="16"/>
                <c:pt idx="0">
                  <c:v>3.512</c:v>
                </c:pt>
                <c:pt idx="1">
                  <c:v>14.896</c:v>
                </c:pt>
                <c:pt idx="2">
                  <c:v>29.629</c:v>
                </c:pt>
                <c:pt idx="3">
                  <c:v>44.405</c:v>
                </c:pt>
                <c:pt idx="4">
                  <c:v>44.786</c:v>
                </c:pt>
                <c:pt idx="5">
                  <c:v>30.154</c:v>
                </c:pt>
                <c:pt idx="6" c:formatCode="0.000_ ">
                  <c:v>15.23</c:v>
                </c:pt>
                <c:pt idx="7">
                  <c:v>3.994</c:v>
                </c:pt>
                <c:pt idx="8">
                  <c:v>0</c:v>
                </c:pt>
                <c:pt idx="9">
                  <c:v>0</c:v>
                </c:pt>
                <c:pt idx="10">
                  <c:v>0</c:v>
                </c:pt>
                <c:pt idx="11">
                  <c:v>0</c:v>
                </c:pt>
                <c:pt idx="12">
                  <c:v>0</c:v>
                </c:pt>
                <c:pt idx="13">
                  <c:v>0</c:v>
                </c:pt>
                <c:pt idx="14">
                  <c:v>0</c:v>
                </c:pt>
                <c:pt idx="15">
                  <c:v>0</c:v>
                </c:pt>
              </c:numCache>
            </c:numRef>
          </c:val>
          <c:smooth val="0"/>
        </c:ser>
        <c:ser>
          <c:idx val="3"/>
          <c:order val="3"/>
          <c:tx>
            <c:strRef>
              <c:f>[工作簿1]Sheet2!$E$1</c:f>
              <c:strCache>
                <c:ptCount val="1"/>
                <c:pt idx="0">
                  <c:v>16</c:v>
                </c:pt>
              </c:strCache>
            </c:strRef>
          </c:tx>
          <c:spPr>
            <a:ln w="28575" cap="rnd">
              <a:solidFill>
                <a:srgbClr val="75BD42"/>
              </a:solidFill>
              <a:round/>
            </a:ln>
            <a:effectLst/>
          </c:spPr>
          <c:marker>
            <c:symbol val="none"/>
          </c:marker>
          <c:dLbls>
            <c:delete val="1"/>
          </c:dLbls>
          <c:cat>
            <c:numRef>
              <c:f>[工作簿1]Sheet2!$A$2:$A$17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[工作簿1]Sheet2!$E$2:$E$17</c:f>
              <c:numCache>
                <c:formatCode>General</c:formatCode>
                <c:ptCount val="16"/>
                <c:pt idx="0">
                  <c:v>0.743</c:v>
                </c:pt>
                <c:pt idx="1">
                  <c:v>2.859</c:v>
                </c:pt>
                <c:pt idx="2">
                  <c:v>4.531</c:v>
                </c:pt>
                <c:pt idx="3">
                  <c:v>11.86</c:v>
                </c:pt>
                <c:pt idx="4">
                  <c:v>14.558</c:v>
                </c:pt>
                <c:pt idx="5">
                  <c:v>17.078</c:v>
                </c:pt>
                <c:pt idx="6">
                  <c:v>22.462</c:v>
                </c:pt>
                <c:pt idx="7">
                  <c:v>24.402</c:v>
                </c:pt>
                <c:pt idx="8">
                  <c:v>27.422</c:v>
                </c:pt>
                <c:pt idx="9">
                  <c:v>24.199</c:v>
                </c:pt>
                <c:pt idx="10">
                  <c:v>17.599</c:v>
                </c:pt>
                <c:pt idx="11">
                  <c:v>14.752</c:v>
                </c:pt>
                <c:pt idx="12">
                  <c:v>12.351</c:v>
                </c:pt>
                <c:pt idx="13" c:formatCode="0.000_ ">
                  <c:v>4.43</c:v>
                </c:pt>
                <c:pt idx="14">
                  <c:v>2.927</c:v>
                </c:pt>
                <c:pt idx="15">
                  <c:v>0.781</c:v>
                </c:pt>
              </c:numCache>
            </c:numRef>
          </c:val>
          <c:smooth val="0"/>
        </c:ser>
        <c:dLbls>
          <c:showLegendKey val="0"/>
          <c:showVal val="0"/>
          <c:showCatName val="0"/>
          <c:showSerName val="0"/>
          <c:showPercent val="0"/>
          <c:showBubbleSize val="0"/>
        </c:dLbls>
        <c:marker val="0"/>
        <c:smooth val="0"/>
        <c:axId val="576710384"/>
        <c:axId val="372824198"/>
      </c:lineChart>
      <c:catAx>
        <c:axId val="576710384"/>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en-US" altLang="zh-CN"/>
                  <a:t>Threads</a:t>
                </a:r>
                <a:endParaRPr lang="en-US" altLang="zh-CN"/>
              </a:p>
            </c:rich>
          </c:tx>
          <c:layout/>
          <c:overlay val="0"/>
          <c:spPr>
            <a:noFill/>
            <a:ln>
              <a:noFill/>
            </a:ln>
            <a:effectLst/>
          </c:spPr>
        </c:title>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372824198"/>
        <c:crosses val="autoZero"/>
        <c:auto val="1"/>
        <c:lblAlgn val="ctr"/>
        <c:lblOffset val="100"/>
        <c:noMultiLvlLbl val="0"/>
      </c:catAx>
      <c:valAx>
        <c:axId val="372824198"/>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en-US" altLang="zh-CN"/>
                  <a:t>Cost Time</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576710384"/>
        <c:crosses val="autoZero"/>
        <c:crossBetween val="between"/>
      </c:valAx>
      <c:dTable>
        <c:showHorzBorder val="1"/>
        <c:showVertBorder val="1"/>
        <c:showOutline val="1"/>
        <c:showKeys val="1"/>
        <c:spPr>
          <a:noFill/>
          <a:ln w="9525" cap="flat" cmpd="sng" algn="ctr">
            <a:solidFill>
              <a:srgbClr val="D9D9D9">
                <a:lumMod val="15000"/>
                <a:lumOff val="85000"/>
              </a:srgbClr>
            </a:solidFill>
            <a:round/>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dTable>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[工作簿1]Sheet3!$B$2</c:f>
              <c:strCache>
                <c:ptCount val="1"/>
                <c:pt idx="0">
                  <c:v>Utilization</c:v>
                </c:pt>
              </c:strCache>
            </c:strRef>
          </c:tx>
          <c:spPr>
            <a:ln w="28575" cap="rnd">
              <a:solidFill>
                <a:srgbClr val="4874CB"/>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rgbClr val="404040">
                        <a:lumMod val="75000"/>
                        <a:lumOff val="25000"/>
                      </a:srgb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rgbClr val="A6A6A6">
                          <a:lumMod val="35000"/>
                          <a:lumOff val="65000"/>
                        </a:srgbClr>
                      </a:solidFill>
                      <a:round/>
                    </a:ln>
                    <a:effectLst/>
                  </c:spPr>
                </c15:leaderLines>
              </c:ext>
            </c:extLst>
          </c:dLbls>
          <c:trendline>
            <c:spPr>
              <a:ln w="19050" cap="rnd">
                <a:solidFill>
                  <a:srgbClr val="4874CB"/>
                </a:solidFill>
                <a:prstDash val="sysDot"/>
              </a:ln>
              <a:effectLst/>
            </c:spPr>
            <c:trendlineType val="linear"/>
            <c:dispRSqr val="0"/>
            <c:dispEq val="0"/>
          </c:trendline>
          <c:cat>
            <c:numRef>
              <c:f>[工作簿1]Sheet3!$C$1:$G$1</c:f>
              <c:numCache>
                <c:formatCode>General</c:formatCode>
                <c:ptCount val="5"/>
                <c:pt idx="0">
                  <c:v>2</c:v>
                </c:pt>
                <c:pt idx="1">
                  <c:v>4</c:v>
                </c:pt>
                <c:pt idx="2">
                  <c:v>8</c:v>
                </c:pt>
                <c:pt idx="3">
                  <c:v>16</c:v>
                </c:pt>
                <c:pt idx="4">
                  <c:v>32</c:v>
                </c:pt>
              </c:numCache>
            </c:numRef>
          </c:cat>
          <c:val>
            <c:numRef>
              <c:f>[工作簿1]Sheet3!$C$2:$G$2</c:f>
              <c:numCache>
                <c:formatCode>0.00%</c:formatCode>
                <c:ptCount val="5"/>
                <c:pt idx="0">
                  <c:v>0.8827</c:v>
                </c:pt>
                <c:pt idx="1">
                  <c:v>0.8716</c:v>
                </c:pt>
                <c:pt idx="2">
                  <c:v>0.8691</c:v>
                </c:pt>
                <c:pt idx="3">
                  <c:v>0.8689</c:v>
                </c:pt>
                <c:pt idx="4">
                  <c:v>0.869</c:v>
                </c:pt>
              </c:numCache>
            </c:numRef>
          </c:val>
          <c:smooth val="0"/>
        </c:ser>
        <c:dLbls>
          <c:showLegendKey val="0"/>
          <c:showVal val="1"/>
          <c:showCatName val="0"/>
          <c:showSerName val="0"/>
          <c:showPercent val="0"/>
          <c:showBubbleSize val="0"/>
        </c:dLbls>
        <c:marker val="0"/>
        <c:smooth val="0"/>
        <c:axId val="886351654"/>
        <c:axId val="67009528"/>
      </c:lineChart>
      <c:catAx>
        <c:axId val="886351654"/>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t>Vector Width</a:t>
                </a:r>
              </a:p>
            </c:rich>
          </c:tx>
          <c:layout/>
          <c:overlay val="0"/>
          <c:spPr>
            <a:noFill/>
            <a:ln>
              <a:noFill/>
            </a:ln>
            <a:effectLst/>
          </c:spPr>
        </c:title>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67009528"/>
        <c:crosses val="autoZero"/>
        <c:auto val="1"/>
        <c:lblAlgn val="ctr"/>
        <c:lblOffset val="100"/>
        <c:noMultiLvlLbl val="0"/>
      </c:catAx>
      <c:valAx>
        <c:axId val="67009528"/>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t>Vector Utilization</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88635165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[工作簿1]Sheet3!$B$5</c:f>
              <c:strCache>
                <c:ptCount val="1"/>
                <c:pt idx="0">
                  <c:v>total Vector Lanes</c:v>
                </c:pt>
              </c:strCache>
            </c:strRef>
          </c:tx>
          <c:spPr>
            <a:ln w="28575" cap="rnd">
              <a:solidFill>
                <a:srgbClr val="4874CB"/>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rgbClr val="404040">
                        <a:lumMod val="75000"/>
                        <a:lumOff val="25000"/>
                      </a:srgb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rgbClr val="A6A6A6">
                          <a:lumMod val="35000"/>
                          <a:lumOff val="65000"/>
                        </a:srgbClr>
                      </a:solidFill>
                      <a:round/>
                    </a:ln>
                    <a:effectLst/>
                  </c:spPr>
                </c15:leaderLines>
              </c:ext>
            </c:extLst>
          </c:dLbls>
          <c:trendline>
            <c:spPr>
              <a:ln w="19050" cap="rnd">
                <a:solidFill>
                  <a:srgbClr val="4874CB"/>
                </a:solidFill>
                <a:prstDash val="sysDot"/>
              </a:ln>
              <a:effectLst/>
            </c:spPr>
            <c:trendlineType val="linear"/>
            <c:dispRSqr val="0"/>
            <c:dispEq val="0"/>
          </c:trendline>
          <c:cat>
            <c:numRef>
              <c:f>[工作簿1]Sheet3!$C$4:$G$4</c:f>
              <c:numCache>
                <c:formatCode>General</c:formatCode>
                <c:ptCount val="5"/>
                <c:pt idx="0">
                  <c:v>2</c:v>
                </c:pt>
                <c:pt idx="1">
                  <c:v>4</c:v>
                </c:pt>
                <c:pt idx="2">
                  <c:v>8</c:v>
                </c:pt>
                <c:pt idx="3">
                  <c:v>16</c:v>
                </c:pt>
                <c:pt idx="4">
                  <c:v>32</c:v>
                </c:pt>
              </c:numCache>
            </c:numRef>
          </c:cat>
          <c:val>
            <c:numRef>
              <c:f>[工作簿1]Sheet3!$C$5:$G$5</c:f>
              <c:numCache>
                <c:formatCode>General</c:formatCode>
                <c:ptCount val="5"/>
                <c:pt idx="0">
                  <c:v>573228</c:v>
                </c:pt>
                <c:pt idx="1">
                  <c:v>586796</c:v>
                </c:pt>
                <c:pt idx="2">
                  <c:v>589912</c:v>
                </c:pt>
                <c:pt idx="3">
                  <c:v>590064</c:v>
                </c:pt>
                <c:pt idx="4">
                  <c:v>591072</c:v>
                </c:pt>
              </c:numCache>
            </c:numRef>
          </c:val>
          <c:smooth val="0"/>
        </c:ser>
        <c:dLbls>
          <c:showLegendKey val="0"/>
          <c:showVal val="1"/>
          <c:showCatName val="0"/>
          <c:showSerName val="0"/>
          <c:showPercent val="0"/>
          <c:showBubbleSize val="0"/>
        </c:dLbls>
        <c:marker val="0"/>
        <c:smooth val="0"/>
        <c:axId val="192973166"/>
        <c:axId val="93888542"/>
      </c:lineChart>
      <c:catAx>
        <c:axId val="192973166"/>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t>Vector Width</a:t>
                </a:r>
              </a:p>
            </c:rich>
          </c:tx>
          <c:layout/>
          <c:overlay val="0"/>
          <c:spPr>
            <a:noFill/>
            <a:ln>
              <a:noFill/>
            </a:ln>
            <a:effectLst/>
          </c:spPr>
        </c:title>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93888542"/>
        <c:crosses val="autoZero"/>
        <c:auto val="1"/>
        <c:lblAlgn val="ctr"/>
        <c:lblOffset val="100"/>
        <c:noMultiLvlLbl val="0"/>
      </c:catAx>
      <c:valAx>
        <c:axId val="93888542"/>
        <c:scaling>
          <c:orientation val="minMax"/>
        </c:scaling>
        <c:delete val="0"/>
        <c:axPos val="l"/>
        <c:majorGridlines>
          <c:spPr>
            <a:ln w="9525" cap="flat" cmpd="sng" algn="ctr">
              <a:solidFill>
                <a:srgbClr val="E6E6E6">
                  <a:lumMod val="902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t>Total Vector Lanes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crossAx val="192973166"/>
        <c:crosses val="autoZero"/>
        <c:crossBetween val="between"/>
      </c:valAx>
      <c:spPr>
        <a:noFill/>
        <a:ln>
          <a:noFill/>
        </a:ln>
        <a:effectLst/>
      </c:spPr>
    </c:plotArea>
    <c:legend>
      <c:legendPos val="b"/>
      <c:layout>
        <c:manualLayout>
          <c:xMode val="edge"/>
          <c:yMode val="edge"/>
          <c:x val="0.358684210526316"/>
          <c:y val="0.895138888888889"/>
          <c:w val="0.370921052631579"/>
          <c:h val="0.077083333333333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rgbClr val="4874CB"/>
  <a:srgbClr val="EE822F"/>
  <a:srgbClr val="F2BA02"/>
  <a:srgbClr val="75BD42"/>
  <a:srgbClr val="30C0B4"/>
  <a:srgbClr val="E54C5E"/>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rgbClr val="4874CB"/>
  <a:srgbClr val="EE822F"/>
  <a:srgbClr val="F2BA02"/>
  <a:srgbClr val="75BD42"/>
  <a:srgbClr val="30C0B4"/>
  <a:srgbClr val="E54C5E"/>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rgbClr val="4874CB"/>
  <a:srgbClr val="EE822F"/>
  <a:srgbClr val="F2BA02"/>
  <a:srgbClr val="75BD42"/>
  <a:srgbClr val="30C0B4"/>
  <a:srgbClr val="E54C5E"/>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rgbClr val="4874CB"/>
  <a:srgbClr val="EE822F"/>
  <a:srgbClr val="F2BA02"/>
  <a:srgbClr val="75BD42"/>
  <a:srgbClr val="30C0B4"/>
  <a:srgbClr val="E54C5E"/>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28">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0">
      <cs:styleClr val="auto"/>
    </cs:fillRef>
    <cs:effectRef idx="0"/>
    <cs:fontRef idx="minor">
      <a:srgbClr val="000000"/>
    </cs:fontRef>
    <cs:spPr>
      <a:ln w="28575" cap="rnd">
        <a:solidFill>
          <a:srgbClr val="FFFFFF"/>
        </a:solidFill>
        <a:round/>
      </a:ln>
      <a:effectLst/>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2.xml><?xml version="1.0" encoding="utf-8"?>
<cs:chartStyle xmlns:cs="http://schemas.microsoft.com/office/drawing/2012/chartStyle" xmlns:a="http://schemas.openxmlformats.org/drawingml/2006/main" id="10028">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0">
      <cs:styleClr val="auto"/>
    </cs:fillRef>
    <cs:effectRef idx="0"/>
    <cs:fontRef idx="minor">
      <a:srgbClr val="000000"/>
    </cs:fontRef>
    <cs:spPr>
      <a:ln w="28575" cap="rnd">
        <a:solidFill>
          <a:srgbClr val="FFFFFF"/>
        </a:solidFill>
        <a:round/>
      </a:ln>
      <a:effectLst/>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3.xml><?xml version="1.0" encoding="utf-8"?>
<cs:chartStyle xmlns:cs="http://schemas.microsoft.com/office/drawing/2012/chartStyle" xmlns:a="http://schemas.openxmlformats.org/drawingml/2006/main" id="10028">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0">
      <cs:styleClr val="auto"/>
    </cs:fillRef>
    <cs:effectRef idx="0"/>
    <cs:fontRef idx="minor">
      <a:srgbClr val="000000"/>
    </cs:fontRef>
    <cs:spPr>
      <a:ln w="28575" cap="rnd">
        <a:solidFill>
          <a:srgbClr val="FFFFFF"/>
        </a:solidFill>
        <a:round/>
      </a:ln>
      <a:effectLst/>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4.xml><?xml version="1.0" encoding="utf-8"?>
<cs:chartStyle xmlns:cs="http://schemas.microsoft.com/office/drawing/2012/chartStyle" xmlns:a="http://schemas.openxmlformats.org/drawingml/2006/main" id="10028">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10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0">
      <cs:styleClr val="auto"/>
    </cs:fillRef>
    <cs:effectRef idx="0"/>
    <cs:fontRef idx="minor">
      <a:srgbClr val="000000"/>
    </cs:fontRef>
    <cs:spPr>
      <a:ln w="28575" cap="rnd">
        <a:solidFill>
          <a:srgbClr val="FFFFFF"/>
        </a:solidFill>
        <a:round/>
      </a:ln>
      <a:effectLst/>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E6E6E6">
            <a:lumMod val="902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404040">
        <a:lumMod val="75000"/>
        <a:lumOff val="25000"/>
      </a:srgbClr>
    </cs:fontRef>
    <cs:defRPr sz="1400" b="1" kern="120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150</TotalTime>
  <ScaleCrop>false</ScaleCrop>
  <LinksUpToDate>false</LinksUpToDate>
  <CharactersWithSpaces>0</CharactersWithSpaces>
  <Application>WPS Office_12.1.0.17885_F1E327BC-269C-435d-A152-05C5408002CA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2024-11-06T06:14:00Z</dcterms:created>
  <dc:creator>Zhuhan.HZCU</dc:creator>
  <cp:lastModifiedBy>Zhuhan.HZCU</cp:lastModifiedBy>
  <dcterms:modified xsi:type="dcterms:W3CDTF">2024-11-06T01:40:10Z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2052-12.1.0.17885</vt:lpwstr>
  </property>
  <property fmtid="{D5CDD505-2E9C-101B-9397-08002B2CF9AE}" pid="3" name="ICV">
    <vt:lpwstr>968EDB33F18FAF4F7D4B2A673ECF7B14_43</vt:lpwstr>
  </property>
</Properties>
</file>