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2"/>
          <w:szCs w:val="52"/>
        </w:rPr>
      </w:pPr>
      <w:r>
        <w:rPr/>
      </w:r>
    </w:p>
    <w:p>
      <w:pPr>
        <w:pStyle w:val="Normal"/>
        <w:jc w:val="center"/>
        <w:rPr>
          <w:rFonts w:ascii="Times New Roman" w:hAnsi="Times New Roman" w:cs="Times New Roman"/>
          <w:b/>
          <w:b/>
          <w:sz w:val="52"/>
          <w:szCs w:val="52"/>
        </w:rPr>
      </w:pPr>
      <w:r>
        <w:rPr/>
      </w:r>
    </w:p>
    <w:p>
      <w:pPr>
        <w:pStyle w:val="Normal"/>
        <w:jc w:val="center"/>
        <w:rPr>
          <w:rFonts w:ascii="Times New Roman" w:hAnsi="Times New Roman" w:cs="Times New Roman"/>
          <w:b/>
          <w:b/>
          <w:sz w:val="52"/>
          <w:szCs w:val="52"/>
        </w:rPr>
      </w:pPr>
      <w:r>
        <w:rPr/>
        <w:drawing>
          <wp:anchor behindDoc="0" distT="0" distB="0" distL="0" distR="0" simplePos="0" locked="0" layoutInCell="1" allowOverlap="1" relativeHeight="7">
            <wp:simplePos x="0" y="0"/>
            <wp:positionH relativeFrom="column">
              <wp:posOffset>805815</wp:posOffset>
            </wp:positionH>
            <wp:positionV relativeFrom="paragraph">
              <wp:posOffset>-57150</wp:posOffset>
            </wp:positionV>
            <wp:extent cx="3780155" cy="12192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780155" cy="1219200"/>
                    </a:xfrm>
                    <a:prstGeom prst="rect">
                      <a:avLst/>
                    </a:prstGeom>
                  </pic:spPr>
                </pic:pic>
              </a:graphicData>
            </a:graphic>
          </wp:anchor>
        </w:drawing>
      </w:r>
    </w:p>
    <w:p>
      <w:pPr>
        <w:pStyle w:val="Normal"/>
        <w:jc w:val="center"/>
        <w:rPr>
          <w:rFonts w:ascii="Times New Roman" w:hAnsi="Times New Roman" w:cs="Times New Roman"/>
          <w:b/>
          <w:b/>
          <w:sz w:val="52"/>
          <w:szCs w:val="52"/>
        </w:rPr>
      </w:pPr>
      <w:r>
        <w:rPr/>
      </w:r>
    </w:p>
    <w:p>
      <w:pPr>
        <w:pStyle w:val="Normal"/>
        <w:jc w:val="center"/>
        <w:rPr>
          <w:rFonts w:ascii="Times New Roman" w:hAnsi="Times New Roman" w:cs="Times New Roman"/>
          <w:b/>
          <w:b/>
          <w:sz w:val="52"/>
          <w:szCs w:val="52"/>
        </w:rPr>
      </w:pPr>
      <w:r>
        <w:rPr/>
      </w:r>
    </w:p>
    <w:p>
      <w:pPr>
        <w:pStyle w:val="Normal"/>
        <w:jc w:val="center"/>
        <w:rPr>
          <w:rFonts w:ascii="Times New Roman" w:hAnsi="Times New Roman" w:cs="Times New Roman"/>
          <w:b/>
          <w:b/>
          <w:sz w:val="52"/>
          <w:szCs w:val="52"/>
        </w:rPr>
      </w:pPr>
      <w:r>
        <w:rPr>
          <w:rFonts w:cs="Times New Roman" w:ascii="Times New Roman" w:hAnsi="Times New Roman"/>
          <w:b/>
          <w:sz w:val="52"/>
          <w:szCs w:val="52"/>
          <w:highlight w:val="lightGray"/>
        </w:rPr>
        <w:t>BAOBAB HEALTH TRUST</w:t>
      </w:r>
    </w:p>
    <w:p>
      <w:pPr>
        <w:pStyle w:val="Normal"/>
        <w:rPr>
          <w:highlight w:val="lightGray"/>
        </w:rPr>
      </w:pPr>
      <w:r>
        <w:rPr>
          <w:highlight w:val="lightGray"/>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 xml:space="preserve">STANDARD OPERATING PROCEDURE (SOP) FOR EVR SYSTEM EQUIPMENT </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t>The aim for this document is to clearly describe the procedures or steps that are taken in assembling the electronic village register (EVR) system.</w:t>
      </w:r>
    </w:p>
    <w:p>
      <w:pPr>
        <w:pStyle w:val="Normal"/>
        <w:rPr>
          <w:rFonts w:ascii="Times New Roman" w:hAnsi="Times New Roman" w:cs="Times New Roman"/>
          <w:sz w:val="24"/>
          <w:szCs w:val="24"/>
        </w:rPr>
      </w:pPr>
      <w:r>
        <w:rPr>
          <w:rFonts w:cs="Times New Roman" w:ascii="Times New Roman" w:hAnsi="Times New Roman"/>
          <w:sz w:val="24"/>
          <w:szCs w:val="24"/>
        </w:rPr>
        <w:t>In this explanation the concentration is dwelling much on the desk setup, the desk itself has compartments for handling the system of which it consists of;</w:t>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BATTERY BOX (24V DC )</w:t>
      </w:r>
    </w:p>
    <w:p>
      <w:pPr>
        <w:pStyle w:val="Normal"/>
        <w:rPr>
          <w:rFonts w:ascii="Times New Roman" w:hAnsi="Times New Roman" w:cs="Times New Roman"/>
          <w:sz w:val="24"/>
          <w:szCs w:val="24"/>
        </w:rPr>
      </w:pPr>
      <w:r>
        <w:rPr>
          <w:rFonts w:cs="Times New Roman" w:ascii="Times New Roman" w:hAnsi="Times New Roman"/>
          <w:sz w:val="24"/>
          <w:szCs w:val="24"/>
        </w:rPr>
        <w:t>The battery box supports two 12volts batteries connected in series for powering up the system, it is placed at the bottom part of the desk.  It comes separate with its lid thus for covering batteries, before covering the batteries there are steps that follow, drilling a hole for the speakon connector after that soldering of a female speakon connector which works as a battery bank power output port, see images below.</w:t>
      </w:r>
    </w:p>
    <w:p>
      <w:pPr>
        <w:pStyle w:val="Normal"/>
        <w:rPr>
          <w:rFonts w:ascii="Times New Roman" w:hAnsi="Times New Roman" w:cs="Times New Roman"/>
          <w:sz w:val="24"/>
          <w:szCs w:val="24"/>
        </w:rPr>
      </w:pPr>
      <w:r>
        <w:rPr/>
        <w:drawing>
          <wp:inline distT="0" distB="0" distL="0" distR="9525">
            <wp:extent cx="2428875" cy="28194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428875" cy="2819400"/>
                    </a:xfrm>
                    <a:prstGeom prst="rect">
                      <a:avLst/>
                    </a:prstGeom>
                  </pic:spPr>
                </pic:pic>
              </a:graphicData>
            </a:graphic>
          </wp:inline>
        </w:drawing>
      </w:r>
      <w:r>
        <w:rPr>
          <w:rFonts w:cs="Times New Roman" w:ascii="Times New Roman" w:hAnsi="Times New Roman"/>
          <w:sz w:val="24"/>
          <w:szCs w:val="24"/>
        </w:rPr>
        <w:tab/>
      </w:r>
      <w:r>
        <w:rPr>
          <w:rFonts w:cs="Times New Roman" w:ascii="Times New Roman" w:hAnsi="Times New Roman"/>
          <w:sz w:val="24"/>
          <w:szCs w:val="24"/>
        </w:rPr>
        <w:drawing>
          <wp:inline distT="0" distB="0" distL="0" distR="9525">
            <wp:extent cx="3171825" cy="27432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171825" cy="2743200"/>
                    </a:xfrm>
                    <a:prstGeom prst="rect">
                      <a:avLst/>
                    </a:prstGeom>
                  </pic:spPr>
                </pic:pic>
              </a:graphicData>
            </a:graphic>
          </wp:inline>
        </w:drawing>
      </w:r>
    </w:p>
    <w:p>
      <w:pPr>
        <w:pStyle w:val="Normal"/>
        <w:rPr>
          <w:rFonts w:ascii="Times New Roman" w:hAnsi="Times New Roman" w:cs="Times New Roman"/>
          <w:sz w:val="24"/>
          <w:szCs w:val="24"/>
        </w:rPr>
      </w:pPr>
      <w:r>
        <w:rPr/>
        <w:drawing>
          <wp:inline distT="0" distB="0" distL="0" distR="0">
            <wp:extent cx="2590800" cy="19431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590800" cy="1943100"/>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2745740" cy="205930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2745740" cy="205930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 xml:space="preserve">ELECTRONIC SYSTEM UNIT </w:t>
      </w:r>
    </w:p>
    <w:p>
      <w:pPr>
        <w:pStyle w:val="Normal"/>
        <w:rPr>
          <w:rFonts w:ascii="Times New Roman" w:hAnsi="Times New Roman" w:cs="Times New Roman"/>
          <w:sz w:val="24"/>
          <w:szCs w:val="24"/>
        </w:rPr>
      </w:pPr>
      <w:r>
        <w:rPr>
          <w:rFonts w:cs="Times New Roman" w:ascii="Times New Roman" w:hAnsi="Times New Roman"/>
          <w:sz w:val="24"/>
          <w:szCs w:val="24"/>
        </w:rPr>
        <w:t xml:space="preserve">Also known as the equipment panel. This part supports 4Dc to Dc power supply modules a solar charge controller, and an ATA, below is an image of the equipment panel without accessories (dc to dc power supply modules, solar charge controller and ATA) </w:t>
      </w:r>
    </w:p>
    <w:p>
      <w:pPr>
        <w:pStyle w:val="Normal"/>
        <w:rPr>
          <w:rFonts w:ascii="Times New Roman" w:hAnsi="Times New Roman" w:cs="Times New Roman"/>
          <w:sz w:val="24"/>
          <w:szCs w:val="24"/>
        </w:rPr>
      </w:pPr>
      <w:r>
        <w:rPr/>
        <w:drawing>
          <wp:inline distT="0" distB="0" distL="0" distR="0">
            <wp:extent cx="2999740" cy="22498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999740" cy="2249805"/>
                    </a:xfrm>
                    <a:prstGeom prst="rect">
                      <a:avLst/>
                    </a:prstGeom>
                  </pic:spPr>
                </pic:pic>
              </a:graphicData>
            </a:graphic>
          </wp:inline>
        </w:drawing>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TWO 12VOLTS CIGARETE PORTS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SCANNER STAND</w:t>
      </w:r>
    </w:p>
    <w:p>
      <w:pPr>
        <w:pStyle w:val="Normal"/>
        <w:rPr/>
      </w:pPr>
      <w:bookmarkStart w:id="0" w:name="_GoBack"/>
      <w:bookmarkEnd w:id="0"/>
      <w:r>
        <w:rPr/>
        <w:t>A hole is drilled on the right hand side whereby a scanner is mounted on the side for the support of the scanner.</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163a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LibreOffice/5.1.6.2$Linux_X86_64 LibreOffice_project/10m0$Build-2</Application>
  <Pages>3</Pages>
  <Words>216</Words>
  <Characters>1045</Characters>
  <CharactersWithSpaces>1254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2017-08-08T12:51:00Z</dcterms:created>
  <dc:creator>LT-JASPER GREY</dc:creator>
  <dc:description/>
  <dc:language>en-US</dc:language>
  <cp:lastModifiedBy/>
  <dcterms:modified xsi:type="dcterms:W3CDTF">2019-03-28T09:31:37Z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