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Site Hardware Installation SOP Draft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 Cabinet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b w:val="1"/>
          <w:u w:val="single"/>
          <w:rtl w:val="0"/>
        </w:rPr>
        <w:t xml:space="preserve">Location (Cabinet)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-Pr</w:t>
      </w:r>
      <w:r w:rsidDel="00000000" w:rsidR="00000000" w:rsidRPr="00000000">
        <w:rPr>
          <w:rtl w:val="0"/>
        </w:rPr>
        <w:t xml:space="preserve">eferably centrally located, safe lockable room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-Well Ventilated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Location (Components)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-Connect Baobab main switch before facility mains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-3 Core Cable from distribution box inside conduit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-Earth Charger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-Fans (A/C) - Bottom (In), Middle (Out), Top (Out)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-Charger fan face inside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-3 A/C Breakers (Left) - Main Switch, 15 Amp, 10 Amp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-3 D/C (Right) - 15 Amp 1-charger 2-server cabinet 3-Load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-2.5 mm cable for wiring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-1.5 mm insulated cable (white) for fans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-Labels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-Terminals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-Locks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 Cabinet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b w:val="1"/>
          <w:u w:val="single"/>
          <w:rtl w:val="0"/>
        </w:rPr>
        <w:t xml:space="preserve">Location (Cabinet)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ab/>
        <w:t xml:space="preserve">-Pre</w:t>
      </w:r>
      <w:r w:rsidDel="00000000" w:rsidR="00000000" w:rsidRPr="00000000">
        <w:rPr>
          <w:rtl w:val="0"/>
        </w:rPr>
        <w:t xml:space="preserve">ferably centrally located, safe lockable room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-If a point is more than 60 metres from cabinet, move cabinet to central location, otherwise place ontop of power cabinet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Location (Components)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-</w:t>
      </w:r>
      <w:r w:rsidDel="00000000" w:rsidR="00000000" w:rsidRPr="00000000">
        <w:rPr>
          <w:rtl w:val="0"/>
        </w:rPr>
        <w:t xml:space="preserve">Server on the left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-Switch on the right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-Trunking down the middle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-Power Speakons on the sides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Switch Cabinet (4U)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-Lockable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Only accessible with ladders (2+ Metres above ground)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-Equipment must be mounted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-Must be Level (Use Spirit Level)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-Power socket to be placed inside cabinet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-All cables/equipment to be labeled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Cabling Layout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-Straight Tubings (Use Bubble Level)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-Inside a room (Trunking)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-Ceiling (PVC Conduit)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-Underground (Water Pipe)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-Covered Walkways joining buildings(PVC Pipe)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-Saddles on all waterpipes and conduits (Approximately 1 Metre spacing)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-If distance exceeds 25 metres without a break, round boxes should be 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-4 mm cable to be used between power, switch and server cabinets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-2.5 mm cable to be used from switch cabinets to terminal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-6mm cable from solar panels to power cabinet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-4mm cable from tower to cabinets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-CAT 6 Ethernet Cable For installations (Recommend KUWES)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-Outdoor CAT 6 Cable for outdoor use/installations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-Data/Power Sockets to be mounted table height (approximately 1 metre above the ground)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Labeling Of Equipment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-All Equipment to be labelled (Switch, Router, AVS, Charger, LVD)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-Baobab Contact details to be displayed (Helpdesk Phone Numbers)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 H/W Installation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