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5EEF"/>
          <w:sz w:val="36"/>
        </w:rPr>
        <w:t>FASTMOVE</w:t>
      </w:r>
    </w:p>
    <w:p>
      <w:pPr>
        <w:pStyle w:val="Title"/>
        <w:jc w:val="center"/>
      </w:pPr>
      <w:r>
        <w:t>QUY TRÌNH VẬN HÀNH KHO</w:t>
      </w:r>
    </w:p>
    <w:p>
      <w:pPr>
        <w:pStyle w:val="Subtitle"/>
        <w:jc w:val="center"/>
      </w:pPr>
      <w:r>
        <w:t>Chuẩn hóa tiếp nhận – phân loại – bàn giao đơn hàng</w:t>
      </w:r>
    </w:p>
    <w:p>
      <w:pPr>
        <w:jc w:val="center"/>
      </w:pPr>
      <w:r>
        <w:rPr>
          <w:color w:val="475467"/>
          <w:sz w:val="18"/>
        </w:rPr>
        <w:t>Mã tài liệu: FM-WH-SOP-01  |  Phiên bản: 1.0  |  Ngày: 26/10/2026</w:t>
      </w:r>
    </w:p>
    <w:p/>
    <w:tbl>
      <w:tblPr>
        <w:tblW w:type="auto" w:w="0"/>
        <w:tblLook w:firstColumn="1" w:firstRow="1" w:lastColumn="0" w:lastRow="0" w:noHBand="0" w:noVBand="1" w:val="04A0"/>
      </w:tblPr>
      <w:tblGrid>
        <w:gridCol w:w="3312"/>
        <w:gridCol w:w="3312"/>
        <w:gridCol w:w="3312"/>
      </w:tblGrid>
      <w:tr>
        <w:tc>
          <w:tcPr>
            <w:tcW w:type="dxa" w:w="3312"/>
          </w:tcPr>
          <w:p>
            <w:pPr>
              <w:jc w:val="center"/>
            </w:pPr>
            <w:r>
              <w:rPr>
                <w:b/>
                <w:color w:val="12305A"/>
                <w:sz w:val="18"/>
              </w:rPr>
              <w:t>Mục tiêu: chính xác &amp; nhanh</w:t>
            </w:r>
          </w:p>
        </w:tc>
        <w:tc>
          <w:tcPr>
            <w:tcW w:type="dxa" w:w="3312"/>
          </w:tcPr>
          <w:p>
            <w:pPr>
              <w:jc w:val="center"/>
            </w:pPr>
            <w:r>
              <w:rPr>
                <w:b/>
                <w:color w:val="12305A"/>
                <w:sz w:val="18"/>
              </w:rPr>
              <w:t>Đối tượng: nhân viên kho / shipper</w:t>
            </w:r>
          </w:p>
        </w:tc>
        <w:tc>
          <w:tcPr>
            <w:tcW w:type="dxa" w:w="3312"/>
          </w:tcPr>
          <w:p>
            <w:pPr>
              <w:jc w:val="center"/>
            </w:pPr>
            <w:r>
              <w:rPr>
                <w:b/>
                <w:color w:val="12305A"/>
                <w:sz w:val="18"/>
              </w:rPr>
              <w:t>Chủ sở hữu: Vận hành FastMove</w:t>
            </w:r>
          </w:p>
        </w:tc>
      </w:tr>
    </w:tbl>
    <w:p>
      <w:r>
        <w:br w:type="page"/>
      </w:r>
    </w:p>
    <w:p>
      <w:pPr>
        <w:pStyle w:val="Heading1"/>
      </w:pPr>
      <w:r>
        <w:t>1. Mục đích và phạm vi</w:t>
      </w:r>
    </w:p>
    <w:p>
      <w:r>
        <w:t>Quy trình này chuẩn hóa thao tác xử lý đơn tại kho FastMove, giảm tra cứu thủ công, hạn chế sai giá cước và tăng khả năng theo dõi trạng thái giao hàng.</w:t>
      </w:r>
    </w:p>
    <w:p>
      <w:pPr>
        <w:pStyle w:val="Heading1"/>
      </w:pPr>
      <w:r>
        <w:t>2. Vai trò và trách nhiệm</w:t>
      </w:r>
    </w:p>
    <w:p>
      <w:r>
        <w:t>Nhân viên kho tiếp nhận và quét mã vận đơn; nhân viên điều phối phân tuyến và xác nhận cước; shipper kiểm tra đơn, nhận bàn giao và cập nhật trạng thái; quản lý kho xử lý ngoại lệ và kiểm tra KPI.</w:t>
      </w:r>
    </w:p>
    <w:p>
      <w:pPr>
        <w:pStyle w:val="Heading1"/>
      </w:pPr>
      <w:r>
        <w:t>3. Quy trình vận hành kho</w:t>
      </w:r>
    </w:p>
    <w:p>
      <w:pPr>
        <w:pStyle w:val="Heading2"/>
      </w:pPr>
      <w:r>
        <w:t>3.1 Tiếp nhận đơn</w:t>
      </w:r>
    </w:p>
    <w:p>
      <w:r>
        <w:t>Quét mã vận đơn; kiểm tra mã đơn, người nhận, địa chỉ, số điện thoại và dịch vụ. Không nhập lại dữ liệu nếu đã có trên hệ thống.</w:t>
      </w:r>
    </w:p>
    <w:p>
      <w:pPr>
        <w:pStyle w:val="Heading2"/>
      </w:pPr>
      <w:r>
        <w:t>3.2 Đối chiếu dữ liệu</w:t>
      </w:r>
    </w:p>
    <w:p>
      <w:r>
        <w:t>Tra cứu giá cước tự động từ bảng danh mục theo mã dịch vụ/khu vực. Kiểm tra kết quả và cảnh báo nếu mã không tồn tại.</w:t>
      </w:r>
    </w:p>
    <w:p>
      <w:pPr>
        <w:pStyle w:val="Heading2"/>
      </w:pPr>
      <w:r>
        <w:t>3.3 Phân loại và lưu kho</w:t>
      </w:r>
    </w:p>
    <w:p>
      <w:r>
        <w:t>Phân loại theo tuyến, khu vực và thời hạn giao. Đặt đơn tại vị trí có nhãn; không gộp các đơn khác tuyến.</w:t>
      </w:r>
    </w:p>
    <w:p>
      <w:pPr>
        <w:pStyle w:val="Heading2"/>
      </w:pPr>
      <w:r>
        <w:t>3.4 Bàn giao shipper</w:t>
      </w:r>
    </w:p>
    <w:p>
      <w:r>
        <w:t>Đối chiếu số lượng kiện với danh sách bàn giao; xác nhận người nhận, thời điểm và tình trạng kiện. Shipper xác nhận trên ứng dụng.</w:t>
      </w:r>
    </w:p>
    <w:p>
      <w:pPr>
        <w:pStyle w:val="Heading2"/>
      </w:pPr>
      <w:r>
        <w:t>3.5 Cập nhật trạng thái</w:t>
      </w:r>
    </w:p>
    <w:p>
      <w:r>
        <w:t>Cập nhật các trạng thái: Đã nhận tại kho → Đang phân loại → Đã bàn giao → Đang giao → Giao thành công / Giao thất bại.</w:t>
      </w:r>
    </w:p>
    <w:p>
      <w:pPr>
        <w:pStyle w:val="Heading2"/>
      </w:pPr>
      <w:r>
        <w:t>3.6 Xử lý ngoại lệ</w:t>
      </w:r>
    </w:p>
    <w:p>
      <w:r>
        <w:t>Đơn thiếu thông tin, mã không hợp lệ hoặc sai cước phải chuyển trạng thái Chờ xử lý và báo điều phối; không tự đoán giá cước.</w:t>
      </w:r>
    </w:p>
    <w:p>
      <w:pPr>
        <w:pStyle w:val="Heading1"/>
      </w:pPr>
      <w:r>
        <w:t>4. Quy tắc an toàn và chất lượng</w:t>
      </w:r>
    </w:p>
    <w:p>
      <w:pPr>
        <w:pStyle w:val="ListBullet"/>
      </w:pPr>
      <w:r>
        <w:t>Giữ kiện hàng đúng khu vực, tránh nhầm tuyến.</w:t>
      </w:r>
    </w:p>
    <w:p>
      <w:pPr>
        <w:pStyle w:val="ListBullet"/>
      </w:pPr>
      <w:r>
        <w:t>Không chia sẻ thông tin người nhận ngoài mục đích giao hàng.</w:t>
      </w:r>
    </w:p>
    <w:p>
      <w:pPr>
        <w:pStyle w:val="ListBullet"/>
      </w:pPr>
      <w:r>
        <w:t>Không xác nhận bàn giao nếu số kiện thực tế không khớp danh sách.</w:t>
      </w:r>
    </w:p>
    <w:p>
      <w:pPr>
        <w:pStyle w:val="ListBullet"/>
      </w:pPr>
      <w:r>
        <w:t>Ghi nhận nguyên nhân giao thất bại bằng mã lý do thống nhất.</w:t>
      </w:r>
    </w:p>
    <w:p>
      <w:pPr>
        <w:pStyle w:val="Heading1"/>
      </w:pPr>
      <w:r>
        <w:t>5. Chỉ số KPI cần theo dõi</w:t>
      </w:r>
    </w:p>
    <w:p>
      <w:r>
        <w:t>Tỷ lệ giao đúng hẹn, tỷ lệ giao thành công lần đầu, tỷ lệ sai cước, thời gian xử lý tại kho và số đơn ngoại lệ. KPI cần được đọc cùng quy mô đơn và điều kiện vận hành, không chỉ nhìn một chỉ số riêng lẻ.</w:t>
      </w:r>
    </w:p>
    <w:p>
      <w:pPr>
        <w:pStyle w:val="Heading1"/>
      </w:pPr>
      <w:r>
        <w:t>6. Mapping VLOOKUP vào mô hình tra hồ sơ</w:t>
      </w:r>
    </w:p>
    <w:p>
      <w:pPr>
        <w:pStyle w:val="ListBullet"/>
      </w:pPr>
      <w:r>
        <w:rPr>
          <w:b/>
        </w:rPr>
        <w:t xml:space="preserve">lookup_value – Giá trị cần tìm: </w:t>
      </w:r>
      <w:r>
        <w:t>Mã vận đơn nhân viên đang cầm trên phiếu.</w:t>
      </w:r>
    </w:p>
    <w:p>
      <w:pPr>
        <w:pStyle w:val="ListBullet"/>
      </w:pPr>
      <w:r>
        <w:rPr>
          <w:b/>
        </w:rPr>
        <w:t xml:space="preserve">table_array – Vùng bảng tra cứu: </w:t>
      </w:r>
      <w:r>
        <w:t>Danh mục giá cước nằm ở Sheet 'GiaCuoc'; cố định vùng bằng dấu $.</w:t>
      </w:r>
    </w:p>
    <w:p>
      <w:pPr>
        <w:pStyle w:val="ListBullet"/>
      </w:pPr>
      <w:r>
        <w:rPr>
          <w:b/>
        </w:rPr>
        <w:t xml:space="preserve">col_index_num – Số thứ tự cột trả về: </w:t>
      </w:r>
      <w:r>
        <w:t>Số thứ tự cột Giá cước trong vùng tra cứu; nếu Mã dịch vụ ở cột đầu và Giá cước ở cột 3 thì nhập 3.</w:t>
      </w:r>
    </w:p>
    <w:p>
      <w:pPr>
        <w:pStyle w:val="ListBullet"/>
      </w:pPr>
      <w:r>
        <w:rPr>
          <w:b/>
        </w:rPr>
        <w:t xml:space="preserve">range_lookup – Kiểu khớp: </w:t>
      </w:r>
      <w:r>
        <w:t>FALSE hoặc 0 để tìm khớp chính xác, tránh lấy nhầm cước gần đúng.</w:t>
      </w:r>
    </w:p>
    <w:p>
      <w:pPr>
        <w:pStyle w:val="Heading1"/>
      </w:pPr>
      <w:r>
        <w:t>7. Kiểm thử và xử lý lỗi</w:t>
      </w:r>
    </w:p>
    <w:p>
      <w:r>
        <w:t>Nếu VLOOKUP trả về #N/A, kiểm tra mã có thừa khoảng trắng, ký tự lạ hoặc khác định dạng hay không. Bọc công thức bằng IFERROR để hiển thị thông báo dễ hiểu; đồng thời giữ một cột trạng thái để nhân viên biết cần kiểm tra lại mã.</w:t>
      </w:r>
    </w:p>
    <w:p>
      <w:r>
        <w:t>Ví dụ: =IFERROR(VLOOKUP(TRIM(A2),GiaCuoc!$A$2:$C$101,3,FALSE),"Không tìm thấy mã – kiểm tra vận đơn")</w:t>
      </w:r>
    </w:p>
    <w:p>
      <w:pPr>
        <w:pStyle w:val="Heading1"/>
      </w:pPr>
      <w:r>
        <w:t>8. Kiểm soát phiên bản</w:t>
      </w:r>
    </w:p>
    <w:p>
      <w:r>
        <w:t>Phiên bản 1.0 – tài liệu mẫu dùng trong đào tạo. Quản lý vận hành rà soát khi có thay đổi quy trình hoặc bảng giá.</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467"/>
        <w:sz w:val="16"/>
      </w:rPr>
      <w:t>FASTMOVE  •  FM-WH-SOP-01  •  Tài liệu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440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5EE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0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A59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0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