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60" w:after="260"/>
        <w:rPr/>
      </w:pPr>
      <w:r>
        <w:rPr/>
        <w:t>The Ministry of Commerce, the Ministry of Public Security, and the State Administration of Taxation jointly promote the "quick handling" of the off-site transaction of second-hand cars</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Recently, the Ministry of Commerce, the Ministry of Public Security, and the State Administration of Taxation jointly issued the "Notice on Promoting the Cross-provincial Registration of Second-hand Car Transactions to Facilitate the Cross-province and Cross-province Transaction of Second-hand Cars" (hereinafter referred to as the "Notice") to address the long cycle of second-hand car transactions in different regions from the institutional perspective. , Inconvenience and other issues, to further promote the development of the second-hand car trading industry.</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One is to promote the off-site transaction of used cars. At present, my country's second-hand car market is becoming more and more active, second-hand car transactions continue to grow, and the demand for people to buy cars from different places has increased significantly. In order to facilitate the remote transaction of second-hand vehicles, the "Notice" proposes that for registered small and micro non-operating passenger vehicles (hereinafter referred to as small non-operating second-hand vehicles), buyers and sellers can choose to conduct transactions at the place where the vehicle is transferred from or where the vehicle is transferred. Operators of second-hand car trading markets, second-hand car dealerships, second-hand car auction companies and other business entities that handle transactions shall verify vehicles and formalities in accordance with regulations, and issue unified invoices for second-hand car sales. For vehicles that conduct transactions in a third place other than the place where the vehicle is transferred to and from the place where the vehicle is transferred, the transaction shall not be handled for them. By clarifying the requirements for off-site transactions and invoice issuance, we can achieve "immediately" and "on-site", and effectively guarantee the implementation of the policies for handling transaction procedures in the transfer place.</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fcf"/>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2">
    <w:name w:val="Heading 2"/>
    <w:basedOn w:val="Normal"/>
    <w:next w:val="Normal"/>
    <w:link w:val="20"/>
    <w:uiPriority w:val="9"/>
    <w:unhideWhenUsed/>
    <w:qFormat/>
    <w:rsid w:val="00186ce3"/>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21" w:customStyle="1">
    <w:name w:val="标题 2 字符"/>
    <w:basedOn w:val="DefaultParagraphFont"/>
    <w:link w:val="2"/>
    <w:uiPriority w:val="9"/>
    <w:qFormat/>
    <w:rsid w:val="00186ce3"/>
    <w:rPr>
      <w:rFonts w:ascii="等线 Light" w:hAnsi="等线 Light" w:eastAsia="等线 Light" w:cs="" w:asciiTheme="majorHAnsi" w:cstheme="majorBidi" w:eastAsiaTheme="majorEastAsia" w:hAnsiTheme="majorHAnsi"/>
      <w:b/>
      <w:bCs/>
      <w:sz w:val="32"/>
      <w:szCs w:val="32"/>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2</Pages>
  <Words>305</Words>
  <Characters>1840</Characters>
  <CharactersWithSpaces>2142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2021-04-20T13:39:00Z</dcterms:created>
  <dc:creator>鲍 泉龙</dc:creator>
  <dc:description/>
  <dc:language>zh-CN</dc:language>
  <cp:lastModifiedBy/>
  <dcterms:modified xsi:type="dcterms:W3CDTF">2021-06-18T17:11:22Z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