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8.wmf" ContentType="image/x-wmf"/>
  <Override PartName="/word/media/image4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100" w:lineRule="atLeast"/>
      </w:pPr>
      <w:r>
        <w:rPr>
          <w:sz w:val="20"/>
        </w:rPr>
        <w:softHyphen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18415</wp:posOffset>
            </wp:positionH>
            <wp:positionV relativeFrom="line">
              <wp:posOffset>0</wp:posOffset>
            </wp:positionV>
            <wp:extent cx="1916430" cy="714375"/>
            <wp:effectExtent b="0" l="0" r="0" t="0"/>
            <wp:wrapNone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100" w:lineRule="atLeast"/>
        <w:jc w:val="right"/>
      </w:pPr>
      <w:r>
        <w:rPr>
          <w:sz w:val="20"/>
        </w:rPr>
        <w:t>Alan McGaughey</w:t>
        <w:br/>
        <w:t>Associate Professor</w:t>
        <w:br/>
        <w:t>Department of Mechanical Engineering</w:t>
        <w:br/>
        <w:t>Carnegie Mellon University</w:t>
        <w:br/>
        <w:t>Pittsburgh, PA 15213-3890</w:t>
        <w:br/>
        <w:t>Tel:  (412) 268-9605</w:t>
        <w:br/>
        <w:t>Fax:  (412) 268-3348</w:t>
        <w:br/>
        <w:t>Email:  mcgaughey@cmu.edu</w:t>
      </w:r>
    </w:p>
    <w:p>
      <w:pPr>
        <w:pStyle w:val="style0"/>
      </w:pPr>
      <w:r>
        <w:rPr/>
        <w:t>March</w:t>
      </w:r>
      <w:r>
        <w:rPr/>
        <w:t xml:space="preserve"> </w:t>
      </w:r>
      <w:r>
        <w:rPr/>
        <w:t>23</w:t>
      </w:r>
      <w:r>
        <w:rPr/>
        <w:t>, 2014</w:t>
      </w:r>
    </w:p>
    <w:p>
      <w:pPr>
        <w:pStyle w:val="style0"/>
      </w:pPr>
      <w:r>
        <w:rPr/>
        <w:t>Dear Victor Vakaryuk:</w:t>
      </w:r>
    </w:p>
    <w:p>
      <w:pPr>
        <w:pStyle w:val="style0"/>
      </w:pPr>
      <w:r>
        <w:rPr/>
        <w:t xml:space="preserve">Thank your for organizing the third round of review of our manuscript BH12397, “Thermal Conductivity Accumulation in Amorphous Silica and Amorphous Silicon.” </w:t>
      </w:r>
      <w:r>
        <w:rPr/>
        <w:t xml:space="preserve">We apologize for the errors in our response to Referee Three and we correct them below.  </w:t>
      </w:r>
      <w:r>
        <w:rPr/>
        <w:t xml:space="preserve"> </w:t>
      </w:r>
    </w:p>
    <w:p>
      <w:pPr>
        <w:pStyle w:val="style0"/>
      </w:pPr>
      <w:r>
        <w:rPr/>
        <w:t>We look forward to your response.</w:t>
      </w:r>
    </w:p>
    <w:p>
      <w:pPr>
        <w:pStyle w:val="style0"/>
      </w:pPr>
      <w:r>
        <w:rPr/>
        <w:t>Sincerely,</w:t>
      </w:r>
    </w:p>
    <w:p>
      <w:pPr>
        <w:pStyle w:val="style0"/>
      </w:pPr>
      <w:r>
        <w:rPr/>
        <w:drawing>
          <wp:inline distB="0" distL="0" distR="0" distT="0">
            <wp:extent cx="1499870" cy="303530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30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softHyphen/>
      </w:r>
    </w:p>
    <w:p>
      <w:pPr>
        <w:pStyle w:val="style0"/>
      </w:pPr>
      <w:r>
        <w:rPr/>
        <w:t>Alan McGaughey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>
          <w:b/>
          <w:bCs/>
          <w:sz w:val="28"/>
          <w:szCs w:val="28"/>
        </w:rPr>
        <w:t xml:space="preserve">Response to the </w:t>
      </w:r>
      <w:r>
        <w:rPr>
          <w:b/>
          <w:bCs/>
          <w:sz w:val="28"/>
          <w:szCs w:val="28"/>
        </w:rPr>
        <w:t>Second</w:t>
      </w:r>
      <w:r>
        <w:rPr>
          <w:b/>
          <w:bCs/>
          <w:sz w:val="28"/>
          <w:szCs w:val="28"/>
        </w:rPr>
        <w:t xml:space="preserve"> Report of the Third Referee</w:t>
      </w:r>
    </w:p>
    <w:p>
      <w:pPr>
        <w:pStyle w:val="style0"/>
        <w:spacing w:after="0" w:before="0"/>
        <w:contextualSpacing w:val="false"/>
      </w:pPr>
      <w:r>
        <w:rPr/>
        <w:t>Modified text throughout the manuscript is highlighted in red.</w:t>
      </w:r>
    </w:p>
    <w:p>
      <w:pPr>
        <w:pStyle w:val="style34"/>
      </w:pPr>
      <w:r>
        <w:rPr/>
      </w:r>
    </w:p>
    <w:p>
      <w:pPr>
        <w:pStyle w:val="style0"/>
        <w:spacing w:after="0" w:before="0"/>
        <w:contextualSpacing w:val="false"/>
      </w:pPr>
      <w:r>
        <w:rPr>
          <w:rFonts w:ascii="Calibri" w:hAnsi="Calibri"/>
          <w:b w:val="false"/>
          <w:i/>
          <w:iCs/>
          <w:caps w:val="false"/>
          <w:smallCaps w:val="false"/>
          <w:color w:val="222222"/>
          <w:spacing w:val="0"/>
          <w:sz w:val="22"/>
          <w:szCs w:val="22"/>
        </w:rPr>
        <w:t>The authors claim that:</w:t>
      </w:r>
      <w:r>
        <w:rPr>
          <w:rFonts w:ascii="Calibri" w:hAnsi="Calibri"/>
          <w:i/>
          <w:iCs/>
          <w:sz w:val="22"/>
          <w:szCs w:val="22"/>
        </w:rPr>
        <w:br/>
        <w:br/>
      </w:r>
      <w:r>
        <w:rPr>
          <w:rFonts w:ascii="Calibri" w:hAnsi="Calibri"/>
          <w:b w:val="false"/>
          <w:i/>
          <w:iCs/>
          <w:caps w:val="false"/>
          <w:smallCaps w:val="false"/>
          <w:color w:val="222222"/>
          <w:spacing w:val="0"/>
          <w:sz w:val="22"/>
          <w:szCs w:val="22"/>
        </w:rPr>
        <w:t>1) “The transverse sound speed predicted for our model of a-SiO2 is</w:t>
      </w:r>
      <w:r>
        <w:rPr>
          <w:rFonts w:ascii="Calibri" w:hAnsi="Calibri"/>
          <w:i/>
          <w:iCs/>
          <w:sz w:val="22"/>
          <w:szCs w:val="22"/>
        </w:rPr>
        <w:br/>
      </w:r>
      <w:r>
        <w:rPr>
          <w:rFonts w:ascii="Calibri" w:hAnsi="Calibri"/>
          <w:b w:val="false"/>
          <w:i/>
          <w:iCs/>
          <w:caps w:val="false"/>
          <w:smallCaps w:val="false"/>
          <w:color w:val="222222"/>
          <w:spacing w:val="0"/>
          <w:sz w:val="22"/>
          <w:szCs w:val="22"/>
        </w:rPr>
        <w:t>85% of that predicted by the other methods (Table I) and that measured</w:t>
      </w:r>
      <w:r>
        <w:rPr>
          <w:rFonts w:ascii="Calibri" w:hAnsi="Calibri"/>
          <w:i/>
          <w:iCs/>
          <w:sz w:val="22"/>
          <w:szCs w:val="22"/>
        </w:rPr>
        <w:br/>
      </w:r>
      <w:r>
        <w:rPr>
          <w:rFonts w:ascii="Calibri" w:hAnsi="Calibri"/>
          <w:b w:val="false"/>
          <w:i/>
          <w:iCs/>
          <w:caps w:val="false"/>
          <w:smallCaps w:val="false"/>
          <w:color w:val="222222"/>
          <w:spacing w:val="0"/>
          <w:sz w:val="22"/>
          <w:szCs w:val="22"/>
        </w:rPr>
        <w:t>by experiment[63,67,70], which is likely related to the smaller</w:t>
      </w:r>
      <w:r>
        <w:rPr>
          <w:rFonts w:ascii="Calibri" w:hAnsi="Calibri"/>
          <w:i/>
          <w:iCs/>
          <w:sz w:val="22"/>
          <w:szCs w:val="22"/>
        </w:rPr>
        <w:br/>
      </w:r>
      <w:r>
        <w:rPr>
          <w:rFonts w:ascii="Calibri" w:hAnsi="Calibri"/>
          <w:b w:val="false"/>
          <w:i/>
          <w:iCs/>
          <w:caps w:val="false"/>
          <w:smallCaps w:val="false"/>
          <w:color w:val="222222"/>
          <w:spacing w:val="0"/>
          <w:sz w:val="22"/>
          <w:szCs w:val="22"/>
        </w:rPr>
        <w:t>density of our samples (see Section III A).”</w:t>
      </w:r>
      <w:r>
        <w:rPr>
          <w:rFonts w:ascii="Calibri" w:hAnsi="Calibri"/>
          <w:i/>
          <w:iCs/>
          <w:sz w:val="22"/>
          <w:szCs w:val="22"/>
        </w:rPr>
        <w:br/>
        <w:br/>
      </w:r>
      <w:r>
        <w:rPr>
          <w:rFonts w:ascii="Calibri" w:hAnsi="Calibri"/>
          <w:b w:val="false"/>
          <w:i/>
          <w:iCs/>
          <w:caps w:val="false"/>
          <w:smallCaps w:val="false"/>
          <w:color w:val="222222"/>
          <w:spacing w:val="0"/>
          <w:sz w:val="22"/>
          <w:szCs w:val="22"/>
        </w:rPr>
        <w:t>The theoretical a-SiO2 models are actually of higher density than the</w:t>
      </w:r>
      <w:r>
        <w:rPr>
          <w:rFonts w:ascii="Calibri" w:hAnsi="Calibri"/>
          <w:i/>
          <w:iCs/>
          <w:sz w:val="22"/>
          <w:szCs w:val="22"/>
        </w:rPr>
        <w:br/>
      </w:r>
      <w:r>
        <w:rPr>
          <w:rFonts w:ascii="Calibri" w:hAnsi="Calibri"/>
          <w:b w:val="false"/>
          <w:i/>
          <w:iCs/>
          <w:caps w:val="false"/>
          <w:smallCaps w:val="false"/>
          <w:color w:val="222222"/>
          <w:spacing w:val="0"/>
          <w:sz w:val="22"/>
          <w:szCs w:val="22"/>
        </w:rPr>
        <w:t>experimental samples.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This was a mistake in the text. The text has been corrected in Section IV C:</w:t>
      </w:r>
    </w:p>
    <w:p>
      <w:pPr>
        <w:pStyle w:val="style0"/>
        <w:spacing w:after="0" w:before="0"/>
        <w:contextualSpacing w:val="false"/>
      </w:pPr>
      <w:r>
        <w:rPr>
          <w:rFonts w:ascii="Calibri" w:hAnsi="Calibri"/>
          <w:sz w:val="22"/>
          <w:szCs w:val="22"/>
        </w:rPr>
      </w:r>
    </w:p>
    <w:p>
      <w:pPr>
        <w:pStyle w:val="style0"/>
        <w:spacing w:after="0" w:before="0"/>
        <w:contextualSpacing w:val="false"/>
      </w:pPr>
      <w:r>
        <w:rPr>
          <w:rFonts w:ascii="Calibri" w:hAnsi="Calibri"/>
          <w:b w:val="false"/>
          <w:i w:val="false"/>
          <w:iCs/>
          <w:caps w:val="false"/>
          <w:smallCaps w:val="false"/>
          <w:color w:val="222222"/>
          <w:spacing w:val="0"/>
          <w:sz w:val="22"/>
          <w:szCs w:val="22"/>
        </w:rPr>
        <w:t>“</w:t>
      </w:r>
      <w:r>
        <w:rPr>
          <w:rFonts w:ascii="Calibri" w:hAnsi="Calibri"/>
          <w:b w:val="false"/>
          <w:i w:val="false"/>
          <w:iCs/>
          <w:caps w:val="false"/>
          <w:smallCaps w:val="false"/>
          <w:color w:val="222222"/>
          <w:spacing w:val="0"/>
          <w:sz w:val="22"/>
          <w:szCs w:val="22"/>
        </w:rPr>
        <w:t xml:space="preserve">...which is likely related to the </w:t>
      </w:r>
      <w:r>
        <w:rPr>
          <w:rFonts w:ascii="Calibri" w:hAnsi="Calibri"/>
          <w:b/>
          <w:bCs/>
          <w:i w:val="false"/>
          <w:iCs/>
          <w:caps w:val="false"/>
          <w:smallCaps w:val="false"/>
          <w:color w:val="222222"/>
          <w:spacing w:val="0"/>
          <w:sz w:val="22"/>
          <w:szCs w:val="22"/>
        </w:rPr>
        <w:t>larger</w:t>
      </w:r>
      <w:r>
        <w:rPr>
          <w:rFonts w:ascii="Calibri" w:hAnsi="Calibri"/>
          <w:b w:val="false"/>
          <w:i w:val="false"/>
          <w:iCs/>
          <w:caps w:val="false"/>
          <w:smallCaps w:val="false"/>
          <w:color w:val="222222"/>
          <w:spacing w:val="0"/>
          <w:sz w:val="22"/>
          <w:szCs w:val="22"/>
        </w:rPr>
        <w:t xml:space="preserve"> density of our samples (see Section III A).”</w:t>
      </w:r>
    </w:p>
    <w:p>
      <w:pPr>
        <w:pStyle w:val="style0"/>
        <w:spacing w:after="0" w:before="0"/>
        <w:contextualSpacing w:val="false"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br/>
      </w:r>
      <w:r>
        <w:rPr>
          <w:rFonts w:ascii="Calibri" w:hAnsi="Calibri"/>
          <w:b w:val="false"/>
          <w:i/>
          <w:iCs/>
          <w:caps w:val="false"/>
          <w:smallCaps w:val="false"/>
          <w:color w:val="222222"/>
          <w:spacing w:val="0"/>
          <w:sz w:val="22"/>
          <w:szCs w:val="22"/>
        </w:rPr>
        <w:t>2) "</w:t>
      </w:r>
      <w:bookmarkStart w:id="0" w:name="__DdeLink__207_2039487346"/>
      <w:r>
        <w:rPr>
          <w:rFonts w:ascii="Calibri" w:hAnsi="Calibri"/>
          <w:b w:val="false"/>
          <w:i/>
          <w:iCs/>
          <w:caps w:val="false"/>
          <w:smallCaps w:val="false"/>
          <w:color w:val="222222"/>
          <w:spacing w:val="0"/>
          <w:sz w:val="22"/>
          <w:szCs w:val="22"/>
        </w:rPr>
        <w:t>Because the predicted kGK for a-Si is lower than kvib (but still</w:t>
        <w:br/>
        <w:t>within the uncertainty), adjusting the propagating mode properties</w:t>
        <w:br/>
        <w:t>towards longitudinal values would only make the agreement with kGK</w:t>
        <w:br/>
        <w:t>worse.</w:t>
      </w:r>
      <w:bookmarkEnd w:id="0"/>
      <w:r>
        <w:rPr>
          <w:rFonts w:ascii="Calibri" w:hAnsi="Calibri"/>
          <w:b w:val="false"/>
          <w:i/>
          <w:iCs/>
          <w:caps w:val="false"/>
          <w:smallCaps w:val="false"/>
          <w:color w:val="222222"/>
          <w:spacing w:val="0"/>
          <w:sz w:val="22"/>
          <w:szCs w:val="22"/>
        </w:rPr>
        <w:t xml:space="preserve"> As such, we do not feel that the use of Eq. (2) with a single</w:t>
        <w:br/>
        <w:t>polarization is the cause for the difference between kvib and kGK."</w:t>
        <w:br/>
        <w:br/>
        <w:t>Looking at figure 6b, it seems that k_vib is lower than k_GK,</w:t>
        <w:br/>
        <w:t>therefore the agreement should improve considering longitudinal modes</w:t>
        <w:br/>
        <w:t>explicitly. Is there a chance that I am misinterpreting fig 6b?</w:t>
      </w:r>
    </w:p>
    <w:p>
      <w:pPr>
        <w:pStyle w:val="style0"/>
        <w:spacing w:after="0" w:before="0"/>
        <w:contextualSpacing w:val="false"/>
      </w:pPr>
      <w:r>
        <w:rPr>
          <w:rFonts w:ascii="Calibri" w:hAnsi="Calibri"/>
          <w:i/>
          <w:iCs/>
          <w:sz w:val="22"/>
          <w:szCs w:val="22"/>
        </w:rPr>
      </w:r>
    </w:p>
    <w:p>
      <w:pPr>
        <w:pStyle w:val="style0"/>
        <w:spacing w:after="0" w:before="0"/>
        <w:contextualSpacing w:val="false"/>
      </w:pPr>
      <w:r>
        <w:rPr/>
        <w:t>We apologize for the confusion, the predicted k</w:t>
      </w:r>
      <w:r>
        <w:rPr>
          <w:vertAlign w:val="subscript"/>
        </w:rPr>
        <w:t>vib</w:t>
      </w:r>
      <w:r>
        <w:rPr/>
        <w:t xml:space="preserve"> is lower than k</w:t>
      </w:r>
      <w:r>
        <w:rPr>
          <w:vertAlign w:val="subscript"/>
        </w:rPr>
        <w:t>GK</w:t>
      </w:r>
      <w:r>
        <w:rPr/>
        <w:t>. The statement should have read: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rFonts w:ascii="Calibri" w:hAnsi="Calibri"/>
          <w:b w:val="false"/>
          <w:i w:val="false"/>
          <w:iCs w:val="false"/>
          <w:caps w:val="false"/>
          <w:smallCaps w:val="false"/>
          <w:color w:val="222222"/>
          <w:spacing w:val="0"/>
          <w:sz w:val="22"/>
          <w:szCs w:val="22"/>
        </w:rPr>
        <w:t>“</w:t>
      </w:r>
      <w:r>
        <w:rPr>
          <w:rFonts w:ascii="Calibri" w:hAnsi="Calibri"/>
          <w:b w:val="false"/>
          <w:i w:val="false"/>
          <w:iCs w:val="false"/>
          <w:caps w:val="false"/>
          <w:smallCaps w:val="false"/>
          <w:color w:val="222222"/>
          <w:spacing w:val="0"/>
          <w:sz w:val="22"/>
          <w:szCs w:val="22"/>
        </w:rPr>
        <w:t xml:space="preserve">Because the predicted kGK for a-Si is </w:t>
      </w:r>
      <w:r>
        <w:rPr>
          <w:rFonts w:ascii="Calibri" w:hAnsi="Calibri"/>
          <w:b/>
          <w:bCs/>
          <w:i w:val="false"/>
          <w:iCs w:val="false"/>
          <w:caps w:val="false"/>
          <w:smallCaps w:val="false"/>
          <w:color w:val="222222"/>
          <w:spacing w:val="0"/>
          <w:sz w:val="22"/>
          <w:szCs w:val="22"/>
        </w:rPr>
        <w:t>larger</w:t>
      </w:r>
      <w:r>
        <w:rPr>
          <w:rFonts w:ascii="Calibri" w:hAnsi="Calibri"/>
          <w:b w:val="false"/>
          <w:i w:val="false"/>
          <w:iCs w:val="false"/>
          <w:caps w:val="false"/>
          <w:smallCaps w:val="false"/>
          <w:color w:val="222222"/>
          <w:spacing w:val="0"/>
          <w:sz w:val="22"/>
          <w:szCs w:val="22"/>
        </w:rPr>
        <w:t xml:space="preserve"> than k</w:t>
      </w:r>
      <w:r>
        <w:rPr>
          <w:rFonts w:ascii="Calibri" w:hAnsi="Calibri"/>
          <w:b w:val="false"/>
          <w:i w:val="false"/>
          <w:iCs w:val="false"/>
          <w:caps w:val="false"/>
          <w:smallCaps w:val="false"/>
          <w:color w:val="222222"/>
          <w:spacing w:val="0"/>
          <w:sz w:val="22"/>
          <w:szCs w:val="22"/>
          <w:vertAlign w:val="subscript"/>
        </w:rPr>
        <w:t>vib</w:t>
      </w:r>
      <w:r>
        <w:rPr>
          <w:rFonts w:ascii="Calibri" w:hAnsi="Calibri"/>
          <w:b w:val="false"/>
          <w:i w:val="false"/>
          <w:iCs w:val="false"/>
          <w:caps w:val="false"/>
          <w:smallCaps w:val="false"/>
          <w:color w:val="222222"/>
          <w:spacing w:val="0"/>
          <w:sz w:val="22"/>
          <w:szCs w:val="22"/>
        </w:rPr>
        <w:t xml:space="preserve"> (but still</w:t>
        <w:br/>
        <w:t>within the uncertainty), adjusting the propagating mode properties</w:t>
        <w:br/>
        <w:t>towards longitudinal values would only make the agreement with k</w:t>
      </w:r>
      <w:r>
        <w:rPr>
          <w:rFonts w:ascii="Calibri" w:hAnsi="Calibri"/>
          <w:b w:val="false"/>
          <w:i w:val="false"/>
          <w:iCs w:val="false"/>
          <w:caps w:val="false"/>
          <w:smallCaps w:val="false"/>
          <w:color w:val="222222"/>
          <w:spacing w:val="0"/>
          <w:sz w:val="22"/>
          <w:szCs w:val="22"/>
          <w:vertAlign w:val="subscript"/>
        </w:rPr>
        <w:t>GK</w:t>
      </w:r>
      <w:r>
        <w:rPr>
          <w:rFonts w:ascii="Calibri" w:hAnsi="Calibri"/>
          <w:b w:val="false"/>
          <w:i w:val="false"/>
          <w:iCs w:val="false"/>
          <w:caps w:val="false"/>
          <w:smallCaps w:val="false"/>
          <w:color w:val="222222"/>
          <w:spacing w:val="0"/>
          <w:sz w:val="22"/>
          <w:szCs w:val="22"/>
        </w:rPr>
        <w:br/>
        <w:t>worse.”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According to the last paragraph of Section IV C: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“</w:t>
      </w:r>
      <w:r>
        <w:rPr/>
        <w:t>Holding</w:t>
        <w:t xml:space="preserve"> all other input parameters in Eq. (1) constant, a smaller sound speed leads to a larger k</w:t>
      </w:r>
      <w:r>
        <w:rPr>
          <w:vertAlign w:val="subscript"/>
        </w:rPr>
        <w:t>pr</w:t>
      </w:r>
      <w:r>
        <w:rPr/>
        <w:t xml:space="preserve"> because the DOS scales</w:t>
        <w:t xml:space="preserve"> as 1/v</w:t>
      </w:r>
      <w:r>
        <w:rPr>
          <w:vertAlign w:val="subscript"/>
        </w:rPr>
        <w:t>s</w:t>
      </w:r>
      <w:r>
        <w:rPr/>
      </w:r>
      <w:r>
        <w:rPr>
          <w:vertAlign w:val="superscript"/>
        </w:rPr>
        <w:t>3</w:t>
      </w:r>
      <w:r>
        <w:rPr/>
        <w:t>. We can thus regard our k</w:t>
      </w:r>
      <w:r>
        <w:rPr>
          <w:vertAlign w:val="subscript"/>
        </w:rPr>
        <w:t>pr</w:t>
      </w:r>
      <w:r>
        <w:rPr/>
        <w:t xml:space="preserve"> prediction as an</w:t>
        <w:t xml:space="preserve"> upper bound.”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94208" w:linePitch="68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Tahoma">
    <w:charset w:val="80"/>
    <w:family w:val="roman"/>
    <w:pitch w:val="variable"/>
  </w:font>
  <w:font w:name="Consolas">
    <w:charset w:val="80"/>
    <w:family w:val="roman"/>
    <w:pitch w:val="variable"/>
  </w:font>
  <w:font w:name="Arial">
    <w:charset w:val="80"/>
    <w:family w:val="swiss"/>
    <w:pitch w:val="variable"/>
  </w:font>
  <w:font w:name="DejaVu Sans Mono">
    <w:charset w:val="80"/>
    <w:family w:val="roman"/>
    <w:pitch w:val="variable"/>
  </w:font>
  <w:font w:name="Calibri">
    <w:charset w:val="80"/>
    <w:family w:val="swiss"/>
    <w:pitch w:val="default"/>
  </w:font>
  <w:font w:name="arial">
    <w:altName w:val="sans-serif"/>
    <w:charset w:val="80"/>
    <w:family w:val="auto"/>
    <w:pitch w:val="default"/>
  </w:font>
</w:fonts>
</file>

<file path=word/settings.xml><?xml version="1.0" encoding="utf-8"?>
<w:settings xmlns:w="http://schemas.openxmlformats.org/wordprocessingml/2006/main">
  <w:zoom w:percent="132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1" w:type="paragraph">
    <w:name w:val="Heading 1"/>
    <w:basedOn w:val="style24"/>
    <w:next w:val="style1"/>
    <w:pPr/>
    <w:rPr/>
  </w:style>
  <w:style w:styleId="style2" w:type="paragraph">
    <w:name w:val="Heading 2"/>
    <w:basedOn w:val="style24"/>
    <w:next w:val="style2"/>
    <w:pPr/>
    <w:rPr/>
  </w:style>
  <w:style w:styleId="style3" w:type="paragraph">
    <w:name w:val="Heading 3"/>
    <w:basedOn w:val="style24"/>
    <w:next w:val="style3"/>
    <w:pPr/>
    <w:rPr/>
  </w:style>
  <w:style w:styleId="style15" w:type="character">
    <w:name w:val="Default Paragraph Font"/>
    <w:next w:val="style15"/>
    <w:rPr/>
  </w:style>
  <w:style w:styleId="style16" w:type="character">
    <w:name w:val="Body Text Indent Char"/>
    <w:basedOn w:val="style15"/>
    <w:next w:val="style16"/>
    <w:rPr>
      <w:rFonts w:ascii="Times New Roman" w:cs="Times New Roman" w:eastAsia="Times New Roman" w:hAnsi="Times New Roman"/>
      <w:b/>
      <w:bCs/>
      <w:sz w:val="20"/>
      <w:szCs w:val="20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Plain Text Char"/>
    <w:basedOn w:val="style15"/>
    <w:next w:val="style18"/>
    <w:rPr>
      <w:rFonts w:ascii="Consolas" w:hAnsi="Consolas"/>
      <w:sz w:val="21"/>
      <w:szCs w:val="21"/>
    </w:rPr>
  </w:style>
  <w:style w:styleId="style19" w:type="character">
    <w:name w:val="Internet Link"/>
    <w:basedOn w:val="style15"/>
    <w:next w:val="style19"/>
    <w:rPr>
      <w:color w:val="0000FF"/>
      <w:u w:val="single"/>
      <w:lang w:bidi="en-US" w:eastAsia="en-US" w:val="en-US"/>
    </w:rPr>
  </w:style>
  <w:style w:styleId="style20" w:type="character">
    <w:name w:val="ListLabel 1"/>
    <w:next w:val="style20"/>
    <w:rPr>
      <w:rFonts w:cs="Courier New"/>
    </w:rPr>
  </w:style>
  <w:style w:styleId="style21" w:type="character">
    <w:name w:val="annotation reference"/>
    <w:basedOn w:val="style15"/>
    <w:next w:val="style21"/>
    <w:rPr>
      <w:sz w:val="18"/>
      <w:szCs w:val="18"/>
    </w:rPr>
  </w:style>
  <w:style w:styleId="style22" w:type="character">
    <w:name w:val="Comment Text Char"/>
    <w:basedOn w:val="style15"/>
    <w:next w:val="style22"/>
    <w:rPr/>
  </w:style>
  <w:style w:styleId="style23" w:type="character">
    <w:name w:val="Comment Subject Char"/>
    <w:basedOn w:val="style22"/>
    <w:next w:val="style23"/>
    <w:rPr>
      <w:b/>
      <w:bCs/>
      <w:sz w:val="20"/>
      <w:szCs w:val="20"/>
    </w:rPr>
  </w:style>
  <w:style w:styleId="style24" w:type="paragraph">
    <w:name w:val="Heading"/>
    <w:basedOn w:val="style0"/>
    <w:next w:val="style25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  <w:contextualSpacing w:val="false"/>
    </w:pPr>
    <w:rPr/>
  </w:style>
  <w:style w:styleId="style26" w:type="paragraph">
    <w:name w:val="List"/>
    <w:basedOn w:val="style25"/>
    <w:next w:val="style26"/>
    <w:pPr/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caption"/>
    <w:basedOn w:val="style0"/>
    <w:next w:val="style2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0" w:type="paragraph">
    <w:name w:val="Text Body Indent"/>
    <w:basedOn w:val="style0"/>
    <w:next w:val="style30"/>
    <w:pPr>
      <w:spacing w:after="0" w:before="0" w:line="100" w:lineRule="atLeast"/>
      <w:ind w:firstLine="720" w:left="5040" w:right="0"/>
      <w:contextualSpacing w:val="false"/>
    </w:pPr>
    <w:rPr>
      <w:rFonts w:ascii="Times New Roman" w:cs="Times New Roman" w:eastAsia="Times New Roman" w:hAnsi="Times New Roman"/>
      <w:b/>
      <w:bCs/>
      <w:sz w:val="20"/>
      <w:szCs w:val="20"/>
    </w:rPr>
  </w:style>
  <w:style w:styleId="style31" w:type="paragraph">
    <w:name w:val="Balloon Text"/>
    <w:basedOn w:val="style0"/>
    <w:next w:val="style31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32" w:type="paragraph">
    <w:name w:val="List Paragraph"/>
    <w:basedOn w:val="style0"/>
    <w:next w:val="style32"/>
    <w:pPr>
      <w:ind w:hanging="0" w:left="720" w:right="0"/>
    </w:pPr>
    <w:rPr/>
  </w:style>
  <w:style w:styleId="style33" w:type="paragraph">
    <w:name w:val="Plain Text"/>
    <w:basedOn w:val="style0"/>
    <w:next w:val="style33"/>
    <w:pPr>
      <w:spacing w:after="0" w:before="0" w:line="100" w:lineRule="atLeast"/>
      <w:contextualSpacing w:val="false"/>
    </w:pPr>
    <w:rPr>
      <w:rFonts w:ascii="Consolas" w:hAnsi="Consolas"/>
      <w:sz w:val="21"/>
      <w:szCs w:val="21"/>
    </w:rPr>
  </w:style>
  <w:style w:styleId="style34" w:type="paragraph">
    <w:name w:val="Preformatted Text"/>
    <w:basedOn w:val="style0"/>
    <w:next w:val="style34"/>
    <w:pPr>
      <w:spacing w:after="0" w:before="0"/>
      <w:contextualSpacing w:val="false"/>
    </w:pPr>
    <w:rPr>
      <w:rFonts w:ascii="DejaVu Sans Mono" w:cs="DejaVu Sans Mono" w:eastAsia="DejaVu Sans Mono" w:hAnsi="DejaVu Sans Mono"/>
      <w:sz w:val="20"/>
      <w:szCs w:val="20"/>
    </w:rPr>
  </w:style>
  <w:style w:styleId="style35" w:type="paragraph">
    <w:name w:val="annotation text"/>
    <w:basedOn w:val="style0"/>
    <w:next w:val="style35"/>
    <w:pPr/>
    <w:rPr/>
  </w:style>
  <w:style w:styleId="style36" w:type="paragraph">
    <w:name w:val="annotation subject"/>
    <w:basedOn w:val="style35"/>
    <w:next w:val="style36"/>
    <w:pPr/>
    <w:rPr>
      <w:b/>
      <w:bCs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7.png"/><Relationship Id="rId3" Type="http://schemas.openxmlformats.org/officeDocument/2006/relationships/image" Target="media/image48.w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2014-02-17T17:29:00.00Z</dcterms:created>
  <dc:creator>Alan</dc:creator>
  <cp:lastModifiedBy>Alan McGaughey</cp:lastModifiedBy>
  <cp:lastPrinted>2013-02-01T22:44:00.00Z</cp:lastPrinted>
  <dcterms:modified xsi:type="dcterms:W3CDTF">2014-02-18T15:23:00.00Z</dcterms:modified>
  <cp:revision>10</cp:revision>
</cp:coreProperties>
</file>