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14r8y6wzby7" w:id="0"/>
      <w:bookmarkEnd w:id="0"/>
      <w:r w:rsidDel="00000000" w:rsidR="00000000" w:rsidRPr="00000000">
        <w:rPr>
          <w:u w:val="single"/>
          <w:rtl w:val="0"/>
        </w:rPr>
        <w:t xml:space="preserve">Diagramme de séquence “Mesurer le centre de gravité d’un objet”: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687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