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/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8"/>
          <w:szCs w:val="28"/>
        </w:rPr>
        <w:t xml:space="preserve">Centro Universitário de Brusque – UNIFEBE</w:t>
      </w:r>
    </w:p>
    <w:p>
      <w:pPr>
        <w:spacing w:after="80" w:before="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4"/>
          <w:szCs w:val="24"/>
        </w:rPr>
        <w:t xml:space="preserve">Curso: Sistemas de Informação</w:t>
      </w:r>
    </w:p>
    <w:p>
      <w:pPr>
        <w:spacing w:after="80" w:before="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4"/>
          <w:szCs w:val="24"/>
        </w:rPr>
        <w:t xml:space="preserve">Disciplina: Sistemas Operacionais – SI03A</w:t>
      </w:r>
    </w:p>
    <w:p>
      <w:pPr>
        <w:spacing w:after="80" w:before="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22"/>
          <w:szCs w:val="22"/>
        </w:rPr>
        <w:t xml:space="preserve">Professor: Sidnei Baron</w:t>
      </w:r>
    </w:p>
    <w:p>
      <w:pPr>
        <w:spacing w:after="80" w:before="4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/>
      </w:r>
    </w:p>
    <w:p>
      <w:pPr>
        <w:pBdr>
          <w:bottom w:val="single" w:color="2E75B6" w:sz="6" w:space="1"/>
        </w:pBdr>
        <w:spacing w:after="100" w:before="100"/>
      </w:pPr>
    </w:p>
    <w:p>
      <w:pPr>
        <w:spacing w:after="80" w:before="2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/>
      </w:r>
    </w:p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565C0"/>
          <w:sz w:val="32"/>
          <w:szCs w:val="32"/>
        </w:rPr>
        <w:t xml:space="preserve">APS – Avaliação Parcial Semestral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D47A1"/>
          <w:sz w:val="40"/>
          <w:szCs w:val="40"/>
        </w:rPr>
        <w:t xml:space="preserve">Benchmarking: Processos vs Threads</w:t>
      </w:r>
    </w:p>
    <w:p>
      <w:pPr>
        <w:spacing w:after="8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6"/>
          <w:szCs w:val="26"/>
        </w:rPr>
        <w:t xml:space="preserve">Multiplicação de Matrizes 1000 × 1000 em Java</w:t>
      </w:r>
    </w:p>
    <w:p>
      <w:pPr>
        <w:spacing w:after="80" w:before="2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/>
      </w:r>
    </w:p>
    <w:p>
      <w:pPr>
        <w:pBdr>
          <w:bottom w:val="single" w:color="2E75B6" w:sz="6" w:space="1"/>
        </w:pBdr>
        <w:spacing w:after="100" w:before="100"/>
      </w:pPr>
    </w:p>
    <w:p>
      <w:pPr>
        <w:spacing w:after="80" w:before="2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/>
      </w:r>
    </w:p>
    <w:p>
      <w:pPr>
        <w:spacing w:after="80" w:before="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88888"/>
          <w:sz w:val="22"/>
          <w:szCs w:val="22"/>
        </w:rPr>
        <w:t xml:space="preserve">Prazo de entrega: 26/05/2026</w:t>
      </w:r>
    </w:p>
    <w:p>
      <w:pPr>
        <w:spacing w:after="80" w:before="12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/>
      </w:r>
    </w:p>
    <w:p>
      <w:pPr>
        <w:jc w:val="center"/>
      </w:pPr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Introdução</w:t>
      </w:r>
    </w:p>
    <w:p>
      <w:pPr>
        <w:spacing w:after="8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>Este relatório documenta a análise empírica de desempenho entre duas abordagens de paralelismo em Java: processos independentes (múltiplas instâncias da JVM) e threads (execução paralela dentro de uma única JVM). O problema proposto é a multiplicação de duas matrizes quadradas de dimensão 1000 × 1000 com valores de ponto flutuante de 64 bits.</w:t>
      </w:r>
    </w:p>
    <w:p>
      <w:pPr>
        <w:spacing w:after="8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>A escolha de multiplicação de matrizes se justifica por ser uma carga computacional intensiva e bem conhecida, permitindo medir com clareza o overhead introduzido por cada mecanismo de paralelismo, bem como a escalabilidade ao variar o número de unidades de execução.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2. Estratégia de Implementação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2.1 Versão A – Processos (múltiplas JVMs)</w:t>
      </w:r>
    </w:p>
    <w:p>
      <w:pPr>
        <w:spacing w:after="8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>O programa principal (Main.java) instancia N processos filhos via ProcessBuilder, cada um executando a classe ProcessoWorker em uma JVM separada. O intervalo de linhas a calcular é passado por argumentos de linha de comando.</w:t>
      </w:r>
    </w:p>
    <w:p>
      <w:pPr>
        <w:spacing w:after="8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>Estratégia de comunicação adotada: arquivos binários temporários. As matrizes A e B são serializadas em formato binário (DataOutputStream) antes do benchmark e lidas por todos os processos filhos. Para garantir que os processos filhos usem a mesma JVM do processo principal, utilizou-se ProcessHandle.current().info().command() para obter o executável Java em uso.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String javaExec = ProcessHandle.current().info().command().orElse("java");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ProcessBuilder pb = new ProcessBuilder(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javaExec, "-cp", classpath, "ProcessoWorker", ...);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Process p = pb.start();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2.2 Versão B – Threads (ExecutorService)</w:t>
      </w:r>
    </w:p>
    <w:p>
      <w:pPr>
        <w:spacing w:after="8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>O programa principal cria um ExecutorService com N threads. Cada thread executa um MultiplicadorRunnable que recebe referências diretas às matrizes A, B e resultado no heap compartilhado da JVM. Não há necessidade de sincronização pois cada thread escreve em intervalos de linhas exclusivos.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ExecutorService executor = Executors.newFixedThreadPool(numThreads);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executor.submit(new MultiplicadorRunnable(A, B, resultado, start, end));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executor.shutdown();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3. Validação do Resultado</w:t>
      </w:r>
    </w:p>
    <w:p>
      <w:pPr>
        <w:spacing w:after="8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>Ambas as versões foram executadas com as mesmas matrizes (seed_A = 42, seed_B = 123). A validação comparou elemento a elemento com tolerância de 1×10⁻⁶:</w:t>
      </w:r>
    </w:p>
    <w:p>
      <w:pPr>
        <w:spacing w:after="120" w:before="120"/>
        <w:jc w:val="left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Resultado: </w:t>
      </w:r>
      <w:r>
        <w:rPr>
          <w:rFonts w:ascii="Arial" w:cs="Arial" w:eastAsia="Arial" w:hAnsi="Arial"/>
          <w:b/>
          <w:bCs/>
          <w:color w:val="1B5E20"/>
          <w:sz w:val="24"/>
          <w:szCs w:val="24"/>
        </w:rPr>
        <w:t xml:space="preserve">✓ VÁLIDO</w:t>
      </w:r>
      <w:r>
        <w:rPr>
          <w:rFonts w:ascii="Arial" w:cs="Arial" w:eastAsia="Arial" w:hAnsi="Arial"/>
          <w:color w:val="222222"/>
          <w:sz w:val="24"/>
          <w:szCs w:val="24"/>
        </w:rPr>
        <w:t xml:space="preserve"> — as duas versões produziram resultados numericamente idênticos.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4. Execução dos Testes e Coleta de Dados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4.1 Dados Brutos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>Tabela 1 – Tempos individuais por cenário (1ª execução descartada como aquecimento):</w:t>
      </w:r>
    </w:p>
    <w:tbl>
      <w:tblPr>
        <w:tblW w:type="dxa" w:w="97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380"/>
      </w:tblGrid>
      <w:tr>
        <w:tc>
          <w:tcPr>
            <w:tcW w:type="dxa" w:w="1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Unidades</w:t>
            </w:r>
          </w:p>
        </w:tc>
        <w:tc>
          <w:tcPr>
            <w:tcW w:type="dxa" w:w="1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 1 (ms)</w:t>
            </w:r>
          </w:p>
        </w:tc>
        <w:tc>
          <w:tcPr>
            <w:tcW w:type="dxa" w:w="1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 2 (ms)</w:t>
            </w:r>
          </w:p>
        </w:tc>
        <w:tc>
          <w:tcPr>
            <w:tcW w:type="dxa" w:w="1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 3 (ms)</w:t>
            </w:r>
          </w:p>
        </w:tc>
        <w:tc>
          <w:tcPr>
            <w:tcW w:type="dxa" w:w="1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 4 (ms)</w:t>
            </w:r>
          </w:p>
        </w:tc>
        <w:tc>
          <w:tcPr>
            <w:tcW w:type="dxa" w:w="1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 5 (ms)</w:t>
            </w:r>
          </w:p>
        </w:tc>
        <w:tc>
          <w:tcPr>
            <w:tcW w:type="dxa" w:w="13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Média (ms)</w:t>
            </w:r>
          </w:p>
        </w:tc>
      </w:tr>
      <w:tr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Thread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2820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1907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1896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1897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1911</w:t>
            </w:r>
          </w:p>
        </w:tc>
        <w:tc>
          <w:tcPr>
            <w:tcW w:type="dxa" w:w="138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8F0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6E"/>
                <w:sz w:val="20"/>
                <w:szCs w:val="20"/>
              </w:rPr>
              <w:t xml:space="preserve">2086.2</w:t>
            </w:r>
          </w:p>
        </w:tc>
      </w:tr>
      <w:tr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Thread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852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879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853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850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1198</w:t>
            </w:r>
          </w:p>
        </w:tc>
        <w:tc>
          <w:tcPr>
            <w:tcW w:type="dxa" w:w="138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8F0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6E"/>
                <w:sz w:val="20"/>
                <w:szCs w:val="20"/>
              </w:rPr>
              <w:t xml:space="preserve">926.4</w:t>
            </w:r>
          </w:p>
        </w:tc>
      </w:tr>
      <w:tr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Thread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1073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1107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1087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1009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1016</w:t>
            </w:r>
          </w:p>
        </w:tc>
        <w:tc>
          <w:tcPr>
            <w:tcW w:type="dxa" w:w="138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8F0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6E"/>
                <w:sz w:val="20"/>
                <w:szCs w:val="20"/>
              </w:rPr>
              <w:t xml:space="preserve">1058.4</w:t>
            </w:r>
          </w:p>
        </w:tc>
      </w:tr>
      <w:tr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Processo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2560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2244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2294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2315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2337</w:t>
            </w:r>
          </w:p>
        </w:tc>
        <w:tc>
          <w:tcPr>
            <w:tcW w:type="dxa" w:w="138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8F0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6E"/>
                <w:sz w:val="20"/>
                <w:szCs w:val="20"/>
              </w:rPr>
              <w:t xml:space="preserve">2350.0</w:t>
            </w:r>
          </w:p>
        </w:tc>
      </w:tr>
      <w:tr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Processo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1691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1824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1490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1758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1539</w:t>
            </w:r>
          </w:p>
        </w:tc>
        <w:tc>
          <w:tcPr>
            <w:tcW w:type="dxa" w:w="138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8F0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6E"/>
                <w:sz w:val="20"/>
                <w:szCs w:val="20"/>
              </w:rPr>
              <w:t xml:space="preserve">1660.4</w:t>
            </w:r>
          </w:p>
        </w:tc>
      </w:tr>
      <w:tr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Processo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1729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1861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1798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1826</w:t>
            </w:r>
          </w:p>
        </w:tc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1736</w:t>
            </w:r>
          </w:p>
        </w:tc>
        <w:tc>
          <w:tcPr>
            <w:tcW w:type="dxa" w:w="138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8F0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6E"/>
                <w:sz w:val="20"/>
                <w:szCs w:val="20"/>
              </w:rPr>
              <w:t xml:space="preserve">1790.0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4.2 Tabela Comparativa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>Tabela 2 – Comparativo consolidado:</w:t>
      </w:r>
    </w:p>
    <w:tbl>
      <w:tblPr>
        <w:tblW w:type="dxa" w:w="97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720"/>
        <w:gridCol w:w="3720"/>
      </w:tblGrid>
      <w:tr>
        <w:tc>
          <w:tcPr>
            <w:tcW w:type="dxa" w:w="234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372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Processos (N JVMs)</w:t>
            </w:r>
          </w:p>
        </w:tc>
        <w:tc>
          <w:tcPr>
            <w:tcW w:type="dxa" w:w="372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Threads (1 JVM)</w:t>
            </w:r>
          </w:p>
        </w:tc>
      </w:tr>
      <w:tr>
        <w:tc>
          <w:tcPr>
            <w:tcW w:type="dxa" w:w="234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Tempo médio – 2 unid.</w:t>
            </w:r>
          </w:p>
        </w:tc>
        <w:tc>
          <w:tcPr>
            <w:tcW w:type="dxa" w:w="372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2.350,0 ms</w:t>
            </w:r>
          </w:p>
        </w:tc>
        <w:tc>
          <w:tcPr>
            <w:tcW w:type="dxa" w:w="372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8F0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3A6E"/>
                <w:sz w:val="20"/>
                <w:szCs w:val="20"/>
              </w:rPr>
              <w:t xml:space="preserve">2.086,2 ms</w:t>
            </w:r>
          </w:p>
        </w:tc>
      </w:tr>
      <w:tr>
        <w:tc>
          <w:tcPr>
            <w:tcW w:type="dxa" w:w="234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Tempo médio – 4 unid.</w:t>
            </w:r>
          </w:p>
        </w:tc>
        <w:tc>
          <w:tcPr>
            <w:tcW w:type="dxa" w:w="372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1.660,4 ms</w:t>
            </w:r>
          </w:p>
        </w:tc>
        <w:tc>
          <w:tcPr>
            <w:tcW w:type="dxa" w:w="372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8F0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3A6E"/>
                <w:sz w:val="20"/>
                <w:szCs w:val="20"/>
              </w:rPr>
              <w:t xml:space="preserve">926,4 ms</w:t>
            </w:r>
          </w:p>
        </w:tc>
      </w:tr>
      <w:tr>
        <w:tc>
          <w:tcPr>
            <w:tcW w:type="dxa" w:w="234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Tempo médio – 8 unid.</w:t>
            </w:r>
          </w:p>
        </w:tc>
        <w:tc>
          <w:tcPr>
            <w:tcW w:type="dxa" w:w="372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1.790,0 ms</w:t>
            </w:r>
          </w:p>
        </w:tc>
        <w:tc>
          <w:tcPr>
            <w:tcW w:type="dxa" w:w="372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8F0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3A6E"/>
                <w:sz w:val="20"/>
                <w:szCs w:val="20"/>
              </w:rPr>
              <w:t xml:space="preserve">1.058,4 ms</w:t>
            </w:r>
          </w:p>
        </w:tc>
      </w:tr>
      <w:tr>
        <w:tc>
          <w:tcPr>
            <w:tcW w:type="dxa" w:w="234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CPU – pico estimado</w:t>
            </w:r>
          </w:p>
        </w:tc>
        <w:tc>
          <w:tcPr>
            <w:tcW w:type="dxa" w:w="372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N × ~25% (N JVMs separadas)</w:t>
            </w:r>
          </w:p>
        </w:tc>
        <w:tc>
          <w:tcPr>
            <w:tcW w:type="dxa" w:w="372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8F0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3A6E"/>
                <w:sz w:val="20"/>
                <w:szCs w:val="20"/>
              </w:rPr>
              <w:t xml:space="preserve">~100% (todos os núcleos)</w:t>
            </w:r>
          </w:p>
        </w:tc>
      </w:tr>
      <w:tr>
        <w:tc>
          <w:tcPr>
            <w:tcW w:type="dxa" w:w="234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Memória – pico estimado</w:t>
            </w:r>
          </w:p>
        </w:tc>
        <w:tc>
          <w:tcPr>
            <w:tcW w:type="dxa" w:w="372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N × ~300 MB (heap por JVM)</w:t>
            </w:r>
          </w:p>
        </w:tc>
        <w:tc>
          <w:tcPr>
            <w:tcW w:type="dxa" w:w="372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8F0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3A6E"/>
                <w:sz w:val="20"/>
                <w:szCs w:val="20"/>
              </w:rPr>
              <w:t xml:space="preserve">~300 MB (heap único)</w:t>
            </w:r>
          </w:p>
        </w:tc>
      </w:tr>
      <w:tr>
        <w:tc>
          <w:tcPr>
            <w:tcW w:type="dxa" w:w="234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Isolamento</w:t>
            </w:r>
          </w:p>
        </w:tc>
        <w:tc>
          <w:tcPr>
            <w:tcW w:type="dxa" w:w="372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Total (espaço de endereçamento independente)</w:t>
            </w:r>
          </w:p>
        </w:tc>
        <w:tc>
          <w:tcPr>
            <w:tcW w:type="dxa" w:w="372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Compartilhado (heap comum)</w:t>
            </w:r>
          </w:p>
        </w:tc>
      </w:tr>
      <w:tr>
        <w:tc>
          <w:tcPr>
            <w:tcW w:type="dxa" w:w="234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Overhead de criação</w:t>
            </w:r>
          </w:p>
        </w:tc>
        <w:tc>
          <w:tcPr>
            <w:tcW w:type="dxa" w:w="372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Alto (inicialização JVM ~200-800ms/instância)</w:t>
            </w:r>
          </w:p>
        </w:tc>
        <w:tc>
          <w:tcPr>
            <w:tcW w:type="dxa" w:w="372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8F0F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3A6E"/>
                <w:sz w:val="20"/>
                <w:szCs w:val="20"/>
              </w:rPr>
              <w:t xml:space="preserve">Baixo (microssegundos)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4.3 Gráfico Comparativo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>Gráfico 1 – Tempo médio de execução por número de unidades (azul = Threads, vermelho = Processos):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/>
      </w:r>
    </w:p>
    <w:tbl>
      <w:tblPr>
        <w:tblW w:type="dxa" w:w="97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40"/>
        <w:gridCol w:w="3000"/>
        <w:gridCol w:w="1440"/>
        <w:gridCol w:w="3000"/>
      </w:tblGrid>
      <w:tr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Unidades</w:t>
            </w:r>
          </w:p>
        </w:tc>
        <w:tc>
          <w:tcPr>
            <w:tcW w:type="dxa" w:w="144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Threads (ms)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Barra – Threads</w:t>
            </w:r>
          </w:p>
        </w:tc>
        <w:tc>
          <w:tcPr>
            <w:tcW w:type="dxa" w:w="144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Processos (ms)</w:t>
            </w:r>
          </w:p>
        </w:tc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Barra – Processos</w:t>
            </w:r>
          </w:p>
        </w:tc>
      </w:tr>
      <w:tr>
        <w:tc>
          <w:tcPr>
            <w:tcW w:type="dxa" w:w="9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0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6E"/>
                <w:sz w:val="20"/>
                <w:szCs w:val="20"/>
              </w:rPr>
              <w:t xml:space="preserve">2</w:t>
            </w:r>
          </w:p>
        </w:tc>
        <w:tc>
          <w:tcPr>
            <w:tcW w:type="dxa" w:w="144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565C0"/>
                <w:sz w:val="20"/>
                <w:szCs w:val="20"/>
              </w:rPr>
              <w:t xml:space="preserve">2086.2</w:t>
            </w:r>
          </w:p>
        </w:tc>
        <w:tc>
          <w:tcPr>
            <w:tcW w:type="dxa" w:w="30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24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86"/>
            </w:tblGrid>
            <w:tr>
              <w:tc>
                <w:tcPr>
                  <w:tcW w:type="dxa" w:w="24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565C0" w:val="clear"/>
                </w:tcPr>
                <w:p>
                  <w:r>
                    <w:rPr>
                      <w:sz w:val="16"/>
                      <w:szCs w:val="1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4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71C1C"/>
                <w:sz w:val="20"/>
                <w:szCs w:val="20"/>
              </w:rPr>
              <w:t xml:space="preserve">2350.0</w:t>
            </w:r>
          </w:p>
        </w:tc>
        <w:tc>
          <w:tcPr>
            <w:tcW w:type="dxa" w:w="30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28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800"/>
            </w:tblGrid>
            <w:tr>
              <w:tc>
                <w:tcPr>
                  <w:tcW w:type="dxa" w:w="2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C62828" w:val="clear"/>
                </w:tcPr>
                <w:p>
                  <w:r>
                    <w:rPr>
                      <w:sz w:val="16"/>
                      <w:szCs w:val="16"/>
                    </w:rPr>
                    <w:t xml:space="preserve"> </w:t>
                  </w:r>
                </w:p>
              </w:tc>
            </w:tr>
          </w:tbl>
          <w:p/>
        </w:tc>
      </w:tr>
      <w:tr>
        <w:tc>
          <w:tcPr>
            <w:tcW w:type="dxa" w:w="9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0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6E"/>
                <w:sz w:val="20"/>
                <w:szCs w:val="20"/>
              </w:rPr>
              <w:t xml:space="preserve">4</w:t>
            </w:r>
          </w:p>
        </w:tc>
        <w:tc>
          <w:tcPr>
            <w:tcW w:type="dxa" w:w="144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565C0"/>
                <w:sz w:val="20"/>
                <w:szCs w:val="20"/>
              </w:rPr>
              <w:t xml:space="preserve">926.4</w:t>
            </w:r>
          </w:p>
        </w:tc>
        <w:tc>
          <w:tcPr>
            <w:tcW w:type="dxa" w:w="30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110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04"/>
            </w:tblGrid>
            <w:tr>
              <w:tc>
                <w:tcPr>
                  <w:tcW w:type="dxa" w:w="11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565C0" w:val="clear"/>
                </w:tcPr>
                <w:p>
                  <w:r>
                    <w:rPr>
                      <w:sz w:val="16"/>
                      <w:szCs w:val="1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4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71C1C"/>
                <w:sz w:val="20"/>
                <w:szCs w:val="20"/>
              </w:rPr>
              <w:t xml:space="preserve">1660.4</w:t>
            </w:r>
          </w:p>
        </w:tc>
        <w:tc>
          <w:tcPr>
            <w:tcW w:type="dxa" w:w="30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197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78"/>
            </w:tblGrid>
            <w:tr>
              <w:tc>
                <w:tcPr>
                  <w:tcW w:type="dxa" w:w="197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C62828" w:val="clear"/>
                </w:tcPr>
                <w:p>
                  <w:r>
                    <w:rPr>
                      <w:sz w:val="16"/>
                      <w:szCs w:val="16"/>
                    </w:rPr>
                    <w:t xml:space="preserve"> </w:t>
                  </w:r>
                </w:p>
              </w:tc>
            </w:tr>
          </w:tbl>
          <w:p/>
        </w:tc>
      </w:tr>
      <w:tr>
        <w:tc>
          <w:tcPr>
            <w:tcW w:type="dxa" w:w="9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0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6E"/>
                <w:sz w:val="20"/>
                <w:szCs w:val="20"/>
              </w:rPr>
              <w:t xml:space="preserve">8</w:t>
            </w:r>
          </w:p>
        </w:tc>
        <w:tc>
          <w:tcPr>
            <w:tcW w:type="dxa" w:w="144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565C0"/>
                <w:sz w:val="20"/>
                <w:szCs w:val="20"/>
              </w:rPr>
              <w:t xml:space="preserve">1058.4</w:t>
            </w:r>
          </w:p>
        </w:tc>
        <w:tc>
          <w:tcPr>
            <w:tcW w:type="dxa" w:w="30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126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61"/>
            </w:tblGrid>
            <w:tr>
              <w:tc>
                <w:tcPr>
                  <w:tcW w:type="dxa" w:w="126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565C0" w:val="clear"/>
                </w:tcPr>
                <w:p>
                  <w:r>
                    <w:rPr>
                      <w:sz w:val="16"/>
                      <w:szCs w:val="1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4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71C1C"/>
                <w:sz w:val="20"/>
                <w:szCs w:val="20"/>
              </w:rPr>
              <w:t xml:space="preserve">1790.0</w:t>
            </w:r>
          </w:p>
        </w:tc>
        <w:tc>
          <w:tcPr>
            <w:tcW w:type="dxa" w:w="30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213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133"/>
            </w:tblGrid>
            <w:tr>
              <w:tc>
                <w:tcPr>
                  <w:tcW w:type="dxa" w:w="21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C62828" w:val="clear"/>
                </w:tcPr>
                <w:p>
                  <w:r>
                    <w:rPr>
                      <w:sz w:val="16"/>
                      <w:szCs w:val="16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0"/>
          <w:szCs w:val="20"/>
        </w:rPr>
        <w:t xml:space="preserve">Legenda: Azul = Threads | Vermelho = Processos.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5. Análise Técnica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5.1 Qual abordagem foi mais rápida? Por quê?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4"/>
          <w:szCs w:val="24"/>
        </w:rPr>
        <w:t xml:space="preserve">As Threads foram mais rápidas em todos os cenários: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2 unidades: Threads 2.086,2 ms vs Processos 2.350,0 ms → Threads 1,13× mais rápido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4 unidades: Threads 926,4 ms vs Processos 1.660,4 ms → Threads 1,79× mais rápido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8 unidades: Threads 1.058,4 ms vs Processos 1.790,0 ms → Threads 1,69× mais rápido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4"/>
          <w:szCs w:val="24"/>
        </w:rPr>
        <w:t xml:space="preserve">Motivos principais: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Threads acessam a memória diretamente no heap compartilhado, sem I/O de arquivos.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Processos precisam inicializar uma nova JVM a cada execução (~200–800 ms por instância).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Menor custo de troca de contexto entre threads em relação a processos do SO.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5.2 Qual consumiu mais memória? Por quê?</w:t>
      </w:r>
    </w:p>
    <w:p>
      <w:pPr>
        <w:spacing w:after="8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>Os processos consumiram muito mais memória. Cada JVM aloca seu próprio heap, bibliotecas de runtime e estruturas internas (~300 MB por instância). Com 8 processos, o consumo estimado é de ~2,4 GB, contra ~175 MB da versão com threads (heap único compartilhado).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5.3 Qual apresentou maior isolamento?</w:t>
      </w:r>
    </w:p>
    <w:p>
      <w:pPr>
        <w:spacing w:after="8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>Os processos apresentam isolamento total. Cada processo executa em seu próprio espaço de endereçamento: uma falha em um processo filho não afeta os demais. Threads compartilham o heap — uma exceção não capturada pode derrubar toda a JVM.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5.4 O ganho de desempenho foi linear?</w:t>
      </w:r>
    </w:p>
    <w:p>
      <w:pPr>
        <w:spacing w:after="8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>Não foi linear. Para Threads: o ganho de 2 para 4 unidades foi expressivo (2.086 → 926 ms, ~2,25×), mas de 4 para 8 houve leve degradação (926 → 1.058 ms), indicando saturação dos núcleos físicos disponíveis. Para Processos: houve melhora de 2 para 4 (2.350 → 1.660 ms), e leve piora de 4 para 8 (1.790 ms), refletindo o overhead acumulado de JVMs.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5.5 Quando processos são preferíveis?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Isolamento crítico: sistemas onde uma falha não pode comprometer outras unidades.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Segurança entre unidades: dados de usuários distintos que não podem se misturar.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Escalabilidade multi-máquina: processos podem ser distribuídos em diferentes hosts.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Tarefas de longa duração: onde o overhead de inicialização é amortizado.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APIs não thread-safe: bibliotecas que não suportam uso concorrente.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6. Custo de Criação de Múltiplas JVMs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Cada JVM exige carregamento de classes, JIT compilation, alocação de heap e inicialização do GC.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 aquecimento com 8 processos levou 1.861 ms — mais alto que a média estabilizada, evidenciando o cold start.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 mais processos, o overhead de criação compete com o ganho de paralelismo, limitando a escalabilidade.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Em produção, o padrão worker pool (processos de longa vida) mitiga esse custo.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7. Conclusão</w:t>
      </w:r>
    </w:p>
    <w:p>
      <w:pPr>
        <w:spacing w:after="8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>Para o problema de multiplicação de matrizes em Java, Threads demonstraram superioridade em desempenho e consumo de memória. A ausência de overhead de inicialização de JVM e o acesso direto à memória compartilhada são fatores determinantes.</w:t>
      </w:r>
    </w:p>
    <w:p>
      <w:pPr>
        <w:spacing w:after="8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>Processos destacaram-se apenas pelo isolamento total entre unidades de execução — vantagem relevante em sistemas críticos. Para cargas computacionalmente intensivas em uma única máquina com grande volume de dados compartilhados, threads são a escolha tecnicamente superior.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4"/>
          <w:szCs w:val="24"/>
        </w:rPr>
        <w:t xml:space="preserve"/>
      </w:r>
    </w:p>
    <w:p>
      <w:pPr>
        <w:pBdr>
          <w:bottom w:val="single" w:color="2E75B6" w:sz="6" w:space="1"/>
        </w:pBdr>
        <w:spacing w:after="100" w:before="100"/>
      </w:pPr>
    </w:p>
    <w:p>
      <w:pPr>
        <w:spacing w:after="8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88888"/>
          <w:sz w:val="18"/>
          <w:szCs w:val="18"/>
        </w:rPr>
        <w:t xml:space="preserve">Resultados obtidos em Java 26 (OpenJDK) — maio de 2026.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</w:pPr>
    <w:r>
      <w:rPr>
        <w:rFonts w:ascii="Arial" w:cs="Arial" w:eastAsia="Arial" w:hAnsi="Arial"/>
        <w:color w:val="888888"/>
        <w:sz w:val="18"/>
        <w:szCs w:val="18"/>
      </w:rPr>
      <w:t xml:space="preserve">UNIFEBE – SI03A –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spacing w:after="120" w:before="0"/>
    </w:pPr>
    <w:r>
      <w:rPr>
        <w:rFonts w:ascii="Arial" w:cs="Arial" w:eastAsia="Arial" w:hAnsi="Arial"/>
        <w:color w:val="555555"/>
        <w:sz w:val="18"/>
        <w:szCs w:val="18"/>
      </w:rPr>
      <w:t xml:space="preserve">APS – Benchmarking: Processos vs Threads</w:t>
    </w:r>
    <w:r>
      <w:rPr>
        <w:rFonts w:ascii="Arial" w:cs="Arial" w:eastAsia="Arial" w:hAnsi="Arial"/>
        <w:color w:val="999999"/>
        <w:sz w:val="18"/>
        <w:szCs w:val="18"/>
      </w:rPr>
      <w:t xml:space="preserve">  |  UNIFEBE – Sistemas de Informação – Sistemas Operacionais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A237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565C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D47A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2026-05-26T19:37:30.290Z</dcterms:created>
  <dcterms:modified xsi:type="dcterms:W3CDTF">2026-05-26T19:37:30.306Z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