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CA3F31"/>
          <w:sz w:val="20"/>
        </w:rPr>
        <w:t>ASCEND  PARTNERS</w:t>
      </w:r>
    </w:p>
    <w:p/>
    <w:p/>
    <w:p/>
    <w:p>
      <w:pPr>
        <w:jc w:val="left"/>
      </w:pPr>
      <w:r>
        <w:rPr>
          <w:rFonts w:ascii="Georgia" w:hAnsi="Georgia"/>
          <w:b/>
          <w:i w:val="0"/>
          <w:color w:val="3D1D08"/>
          <w:sz w:val="56"/>
        </w:rPr>
        <w:t>Benchmark démo — cartographie d'éditeurs IA souveraine (synthetic)</w:t>
      </w:r>
    </w:p>
    <w:p>
      <w:pPr>
        <w:keepNext/>
        <w:jc w:val="left"/>
      </w:pPr>
      <w:r>
        <w:rPr>
          <w:rFonts w:ascii="Calibri" w:hAnsi="Calibri"/>
          <w:b w:val="0"/>
          <w:i/>
          <w:color w:val="BC997A"/>
          <w:sz w:val="26"/>
        </w:rPr>
        <w:t>Livrable de préparation — Demo Corp (exemple synthétique public)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EN BREF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Objet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Benchmark démo — cartographie d'éditeurs IA souveraine (synthetic)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Panel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4 acteurs benchés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Méthodologie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Ascend-Bench v1.3.1 — workflow market-benchmark complet, exemple public synthétique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Grille de scoring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lisi-souverainete.json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Mode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full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Date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2026-04-21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Consultant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Demo User</w:t>
            </w:r>
          </w:p>
        </w:tc>
      </w:tr>
    </w:tbl>
    <w:p>
      <w:pPr>
        <w:jc w:val="left"/>
      </w:pPr>
      <w:r>
        <w:rPr>
          <w:rFonts w:ascii="Georgia" w:hAnsi="Georgia"/>
          <w:b/>
          <w:i w:val="0"/>
          <w:color w:val="3D1D08"/>
          <w:sz w:val="56"/>
        </w:rPr>
        <w:t>Sommaire</w:t>
      </w:r>
    </w:p>
    <w:p/>
    <w:p>
      <w:pPr>
        <w:jc w:val="left"/>
      </w:pPr>
      <w:r>
        <w:rPr>
          <w:rFonts w:ascii="Calibri" w:hAnsi="Calibri"/>
          <w:b/>
          <w:i w:val="0"/>
          <w:color w:val="CA3F31"/>
          <w:sz w:val="20"/>
        </w:rPr>
        <w:t>SYNTHÈSE &amp; ORIENTATION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01  </w:t>
      </w:r>
      <w:r>
        <w:rPr>
          <w:rFonts w:ascii="Calibri" w:hAnsi="Calibri"/>
          <w:b/>
          <w:i w:val="0"/>
          <w:color w:val="3D1D08"/>
          <w:sz w:val="22"/>
        </w:rPr>
        <w:t>Comment lire ce document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02  </w:t>
      </w:r>
      <w:r>
        <w:rPr>
          <w:rFonts w:ascii="Calibri" w:hAnsi="Calibri"/>
          <w:b/>
          <w:i w:val="0"/>
          <w:color w:val="3D1D08"/>
          <w:sz w:val="22"/>
        </w:rPr>
        <w:t>Synthèse exécutive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03  </w:t>
      </w:r>
      <w:r>
        <w:rPr>
          <w:rFonts w:ascii="Calibri" w:hAnsi="Calibri"/>
          <w:b/>
          <w:i w:val="0"/>
          <w:color w:val="3D1D08"/>
          <w:sz w:val="22"/>
        </w:rPr>
        <w:t>Classement et verdicts</w:t>
      </w:r>
    </w:p>
    <w:p/>
    <w:p>
      <w:pPr>
        <w:jc w:val="left"/>
      </w:pPr>
      <w:r>
        <w:rPr>
          <w:rFonts w:ascii="Calibri" w:hAnsi="Calibri"/>
          <w:b/>
          <w:i w:val="0"/>
          <w:color w:val="CA3F31"/>
          <w:sz w:val="20"/>
        </w:rPr>
        <w:t>FICHES ACTEURS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04  </w:t>
      </w:r>
      <w:r>
        <w:rPr>
          <w:rFonts w:ascii="Calibri" w:hAnsi="Calibri"/>
          <w:b/>
          <w:i w:val="0"/>
          <w:color w:val="3D1D08"/>
          <w:sz w:val="22"/>
        </w:rPr>
        <w:t>Acme Cloud SAS — 4.40 / 5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05  </w:t>
      </w:r>
      <w:r>
        <w:rPr>
          <w:rFonts w:ascii="Calibri" w:hAnsi="Calibri"/>
          <w:b/>
          <w:i w:val="0"/>
          <w:color w:val="3D1D08"/>
          <w:sz w:val="22"/>
        </w:rPr>
        <w:t>Nova Industries (fictif) — 3.35 / 5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06  </w:t>
      </w:r>
      <w:r>
        <w:rPr>
          <w:rFonts w:ascii="Calibri" w:hAnsi="Calibri"/>
          <w:b/>
          <w:i w:val="0"/>
          <w:color w:val="3D1D08"/>
          <w:sz w:val="22"/>
        </w:rPr>
        <w:t>Demo Hybrid Systems (fictif) — 2.95 / 5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07  </w:t>
      </w:r>
      <w:r>
        <w:rPr>
          <w:rFonts w:ascii="Calibri" w:hAnsi="Calibri"/>
          <w:b/>
          <w:i w:val="0"/>
          <w:color w:val="3D1D08"/>
          <w:sz w:val="22"/>
        </w:rPr>
        <w:t>Sample Legacy Corp (fictif) — 1.80 / 5</w:t>
      </w:r>
    </w:p>
    <w:p/>
    <w:p>
      <w:pPr>
        <w:jc w:val="left"/>
      </w:pPr>
      <w:r>
        <w:rPr>
          <w:rFonts w:ascii="Calibri" w:hAnsi="Calibri"/>
          <w:b/>
          <w:i w:val="0"/>
          <w:color w:val="CA3F31"/>
          <w:sz w:val="20"/>
        </w:rPr>
        <w:t>ANALYSES ET ENSEIGNEMENTS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08  </w:t>
      </w:r>
      <w:r>
        <w:rPr>
          <w:rFonts w:ascii="Calibri" w:hAnsi="Calibri"/>
          <w:b/>
          <w:i w:val="0"/>
          <w:color w:val="3D1D08"/>
          <w:sz w:val="22"/>
        </w:rPr>
        <w:t>Rapport critique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09  </w:t>
      </w:r>
      <w:r>
        <w:rPr>
          <w:rFonts w:ascii="Calibri" w:hAnsi="Calibri"/>
          <w:b/>
          <w:i w:val="0"/>
          <w:color w:val="3D1D08"/>
          <w:sz w:val="22"/>
        </w:rPr>
        <w:t>Rapport red-team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10  </w:t>
      </w:r>
      <w:r>
        <w:rPr>
          <w:rFonts w:ascii="Calibri" w:hAnsi="Calibri"/>
          <w:b/>
          <w:i w:val="0"/>
          <w:color w:val="3D1D08"/>
          <w:sz w:val="22"/>
        </w:rPr>
        <w:t>Analyse transverse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11  </w:t>
      </w:r>
      <w:r>
        <w:rPr>
          <w:rFonts w:ascii="Calibri" w:hAnsi="Calibri"/>
          <w:b/>
          <w:i w:val="0"/>
          <w:color w:val="3D1D08"/>
          <w:sz w:val="22"/>
        </w:rPr>
        <w:t>Enseignements pour Demo Corp (exemple synthétique public)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2"/>
        </w:rPr>
        <w:t xml:space="preserve">12  </w:t>
      </w:r>
      <w:r>
        <w:rPr>
          <w:rFonts w:ascii="Calibri" w:hAnsi="Calibri"/>
          <w:b/>
          <w:i w:val="0"/>
          <w:color w:val="3D1D08"/>
          <w:sz w:val="22"/>
        </w:rPr>
        <w:t>Annexe — sources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01. </w:t>
      </w:r>
      <w:r>
        <w:rPr>
          <w:rFonts w:ascii="Georgia" w:hAnsi="Georgia"/>
          <w:b/>
          <w:i w:val="0"/>
          <w:color w:val="3D1D08"/>
          <w:sz w:val="40"/>
        </w:rPr>
        <w:t>Comment lire ce document</w:t>
      </w:r>
    </w:p>
    <w:p/>
    <w:p>
      <w:pPr>
        <w:jc w:val="left"/>
      </w:pPr>
      <w:r>
        <w:rPr>
          <w:rFonts w:ascii="Calibri" w:hAnsi="Calibri"/>
          <w:b w:val="0"/>
          <w:i w:val="0"/>
          <w:color w:val="3D1D08"/>
          <w:sz w:val="22"/>
        </w:rPr>
        <w:t>Ce document est construit pour trois scénarios de lecture.</w:t>
      </w:r>
    </w:p>
    <w:p>
      <w:pPr>
        <w:jc w:val="left"/>
      </w:pPr>
      <w:r>
        <w:rPr>
          <w:rFonts w:ascii="Calibri" w:hAnsi="Calibri"/>
          <w:b/>
          <w:i w:val="0"/>
          <w:color w:val="CA3F31"/>
          <w:sz w:val="22"/>
        </w:rPr>
        <w:t>Lecture flash (5 minutes).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2"/>
        </w:rPr>
        <w:t>Page de garde, synthèse exécutive (02), classement et verdicts (03). Vous savez quoi retenir pour un arbitrage rapide.</w:t>
      </w:r>
    </w:p>
    <w:p/>
    <w:p>
      <w:pPr>
        <w:jc w:val="left"/>
      </w:pPr>
      <w:r>
        <w:rPr>
          <w:rFonts w:ascii="Calibri" w:hAnsi="Calibri"/>
          <w:b/>
          <w:i w:val="0"/>
          <w:color w:val="CA3F31"/>
          <w:sz w:val="22"/>
        </w:rPr>
        <w:t>Lecture préparation COPIL (30 minutes).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2"/>
        </w:rPr>
        <w:t>Idem + les fiches acteurs du top 3 + analyse transverse + enseignements. Les angles morts et verdicts red-team vous protègent de la question piège.</w:t>
      </w:r>
    </w:p>
    <w:p/>
    <w:p>
      <w:pPr>
        <w:jc w:val="left"/>
      </w:pPr>
      <w:r>
        <w:rPr>
          <w:rFonts w:ascii="Calibri" w:hAnsi="Calibri"/>
          <w:b/>
          <w:i w:val="0"/>
          <w:color w:val="CA3F31"/>
          <w:sz w:val="22"/>
        </w:rPr>
        <w:t>Lecture approfondie (1h30).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2"/>
        </w:rPr>
        <w:t>Tout le document dans l'ordre, annexe sources comprise. À faire avant d'engager une recommandation contractuelle.</w:t>
      </w:r>
    </w:p>
    <w:p/>
    <w:p>
      <w:r>
        <w:rPr>
          <w:rFonts w:ascii="Georgia" w:hAnsi="Georgia"/>
          <w:b/>
          <w:i w:val="0"/>
          <w:color w:val="3D1D08"/>
          <w:sz w:val="28"/>
        </w:rPr>
        <w:t>Structure d'une fiche acteur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Contexte et déclencheur • Stratégie déployée (infra / modèles / données / org) • Chiffres-clés • Maturité &amp; approche • Scoring par critère • Angles morts • Verdict red-team • Trous d'information.</w:t>
      </w:r>
    </w:p>
    <w:p/>
    <w:p>
      <w:r>
        <w:rPr>
          <w:rFonts w:ascii="Georgia" w:hAnsi="Georgia"/>
          <w:b/>
          <w:i w:val="0"/>
          <w:color w:val="3D1D08"/>
          <w:sz w:val="28"/>
        </w:rPr>
        <w:t>Codes couleur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Rouge brique Ascend = verdict REFAIRE ou accent critique. Beige doré = À NUANCER. Bleu pétrole = TIENT LA ROUTE. Brun clair = métadonnées et sources secondaires.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02. </w:t>
      </w:r>
      <w:r>
        <w:rPr>
          <w:rFonts w:ascii="Georgia" w:hAnsi="Georgia"/>
          <w:b/>
          <w:i w:val="0"/>
          <w:color w:val="3D1D08"/>
          <w:sz w:val="40"/>
        </w:rPr>
        <w:t>Synthèse exécutive</w:t>
      </w:r>
    </w:p>
    <w:p/>
    <w:p>
      <w:pPr>
        <w:jc w:val="left"/>
      </w:pPr>
      <w:r>
        <w:rPr>
          <w:rFonts w:ascii="Calibri" w:hAnsi="Calibri"/>
          <w:b w:val="0"/>
          <w:i w:val="0"/>
          <w:color w:val="3D1D08"/>
          <w:sz w:val="22"/>
        </w:rPr>
        <w:t>Bench synthétique de 4 éditeurs fictifs pour démontrer le rendu du stack Ascend-Bench (xlsx + docx). Aucune donnée client réelle. Les noms d'éditeurs, chiffres, citations sont tous fictifs et servent uniquement à illustrer la structure du livrable.</w:t>
      </w:r>
    </w:p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Trois enseignements structurants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>ENSEIGNEMENT #1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Trois voies d'émancipation technologique se distinguent dans ce panel synthétique — pure souverain, hybride, remédiation — illustrant les arbitrages typiques rencontrés en mission.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>ENSEIGNEMENT #2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Le leader fictif Acme Cloud combine cloud qualifié + modèles UE + capital européen, score pondéré 4.40 sur 5, mais présente des angles morts sur la dépendance silicium NVIDIA (inévitable à court terme).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>ENSEIGNEMENT #3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Cartographie synthétique des 3 voies observées : by design (Acme Cloud), voie hybride avec Nova Industries et Demo Hybrid Systems en mode hybride assumé, et remédiation (Sample Legacy Corp).</w:t>
            </w:r>
          </w:p>
        </w:tc>
      </w:tr>
    </w:tbl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Signaux faibles à remonter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SIGNAL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Les acteurs de taille intermédiaire accélèrent leur adoption de cloud souverain qualifié depuis les annonces réglementaires récentes.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SIGNAL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Le gap GPU entre cloud souverains et hyperscalers US ne se réduit pas — les parcs sont en retard d'au moins 1 génération.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03. </w:t>
      </w:r>
      <w:r>
        <w:rPr>
          <w:rFonts w:ascii="Georgia" w:hAnsi="Georgia"/>
          <w:b/>
          <w:i w:val="0"/>
          <w:color w:val="3D1D08"/>
          <w:sz w:val="40"/>
        </w:rPr>
        <w:t>Classement et verdicts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Acteur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 /5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Verdict red-team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Acme Cloud SAS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4.40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0E5876"/>
                <w:sz w:val="18"/>
              </w:rPr>
              <w:t>TIENT LA ROUTE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Nova Industries (fictif)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3.35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CBB57E"/>
                <w:sz w:val="18"/>
              </w:rPr>
              <w:t>À NUANCER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Demo Hybrid Systems (fictif)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2.95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CBB57E"/>
                <w:sz w:val="18"/>
              </w:rPr>
              <w:t>À NUANCER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Sample Legacy Corp (fictif)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1.80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FBF1ED"/>
          </w:tcPr>
          <w:p>
            <w:r>
              <w:rPr>
                <w:rFonts w:ascii="Calibri" w:hAnsi="Calibri"/>
                <w:b/>
                <w:i w:val="0"/>
                <w:color w:val="CA3F31"/>
                <w:sz w:val="18"/>
              </w:rPr>
              <w:t>REFAIRE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Positionnement synthétique</w:t>
      </w:r>
    </w:p>
    <w:p/>
    <w:p>
      <w:r>
        <w:rPr>
          <w:rFonts w:ascii="Calibri" w:hAnsi="Calibri"/>
          <w:b/>
          <w:i w:val="0"/>
          <w:color w:val="CA3F31"/>
          <w:sz w:val="20"/>
        </w:rPr>
        <w:t xml:space="preserve">#1  </w:t>
      </w:r>
      <w:r>
        <w:rPr>
          <w:rFonts w:ascii="Calibri" w:hAnsi="Calibri"/>
          <w:b/>
          <w:i w:val="0"/>
          <w:color w:val="3D1D08"/>
          <w:sz w:val="20"/>
        </w:rPr>
        <w:t xml:space="preserve">Acme Cloud SAS — </w:t>
      </w:r>
      <w:r>
        <w:rPr>
          <w:rFonts w:ascii="Calibri" w:hAnsi="Calibri"/>
          <w:b w:val="0"/>
          <w:i w:val="0"/>
          <w:color w:val="3D1D08"/>
          <w:sz w:val="20"/>
        </w:rPr>
        <w:t>Pure player souverain fictif — référence by design sur périmètre régulé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#2  </w:t>
      </w:r>
      <w:r>
        <w:rPr>
          <w:rFonts w:ascii="Calibri" w:hAnsi="Calibri"/>
          <w:b/>
          <w:i w:val="0"/>
          <w:color w:val="3D1D08"/>
          <w:sz w:val="20"/>
        </w:rPr>
        <w:t xml:space="preserve">Nova Industries (fictif) — </w:t>
      </w:r>
      <w:r>
        <w:rPr>
          <w:rFonts w:ascii="Calibri" w:hAnsi="Calibri"/>
          <w:b w:val="0"/>
          <w:i w:val="0"/>
          <w:color w:val="3D1D08"/>
          <w:sz w:val="20"/>
        </w:rPr>
        <w:t>Industriel fictif qui construit son stack IA in-house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#3  </w:t>
      </w:r>
      <w:r>
        <w:rPr>
          <w:rFonts w:ascii="Calibri" w:hAnsi="Calibri"/>
          <w:b/>
          <w:i w:val="0"/>
          <w:color w:val="3D1D08"/>
          <w:sz w:val="20"/>
        </w:rPr>
        <w:t xml:space="preserve">Demo Hybrid Systems (fictif) — </w:t>
      </w:r>
      <w:r>
        <w:rPr>
          <w:rFonts w:ascii="Calibri" w:hAnsi="Calibri"/>
          <w:b w:val="0"/>
          <w:i w:val="0"/>
          <w:color w:val="3D1D08"/>
          <w:sz w:val="20"/>
        </w:rPr>
        <w:t>Éditeur fictif hybride — AWS/Azure pour dev, souverain pour prod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#4  </w:t>
      </w:r>
      <w:r>
        <w:rPr>
          <w:rFonts w:ascii="Calibri" w:hAnsi="Calibri"/>
          <w:b/>
          <w:i w:val="0"/>
          <w:color w:val="3D1D08"/>
          <w:sz w:val="20"/>
        </w:rPr>
        <w:t xml:space="preserve">Sample Legacy Corp (fictif) — </w:t>
      </w:r>
      <w:r>
        <w:rPr>
          <w:rFonts w:ascii="Calibri" w:hAnsi="Calibri"/>
          <w:b w:val="0"/>
          <w:i w:val="0"/>
          <w:color w:val="3D1D08"/>
          <w:sz w:val="20"/>
        </w:rPr>
        <w:t>Acteur fictif sur stack US historique, en début de remédiation</w:t>
      </w:r>
    </w:p>
    <w:p>
      <w:r>
        <w:br w:type="page"/>
      </w:r>
    </w:p>
    <w:p>
      <w:pPr>
        <w:keepNext/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04. </w:t>
      </w:r>
      <w:r>
        <w:rPr>
          <w:rFonts w:ascii="Georgia" w:hAnsi="Georgia"/>
          <w:b/>
          <w:i w:val="0"/>
          <w:color w:val="3D1D08"/>
          <w:sz w:val="40"/>
        </w:rPr>
        <w:t>Acme Cloud SAS — 4.40 / 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EN BREF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Rang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#1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Score pondéré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4.40 / 5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Verdict red-team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TIENT LA ROUTE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Positionnement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Pure player souverain fictif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Stack emblématique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Cloud EU qualifié + Mistral LLM + capital 100 % UE + data center Paris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Contexte et déclencheur</w:t>
      </w:r>
    </w:p>
    <w:p>
      <w:pPr>
        <w:keepNext/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Acme Cloud SAS est un éditeur fictif à capital européen, spécialisé dans les services cloud pour administrations et industries régulées françaises. Filiale d'un groupe industriel imaginaire, fondée en 2018 (data fictive), elle opère 3 data centers en France et au Luxembourg. Ce contenu est entièrement synthétique et sert uniquement d'exemple de rendu Ascend-Bench.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18"/>
              </w:rPr>
              <w:t>CITATION</w:t>
            </w:r>
          </w:p>
          <w:p>
            <w:r>
              <w:rPr>
                <w:rFonts w:ascii="Georgia" w:hAnsi="Georgia"/>
                <w:b w:val="0"/>
                <w:i/>
                <w:color w:val="3D1D08"/>
                <w:sz w:val="24"/>
              </w:rPr>
              <w:t>« Notre pari est simple : un acteur souverain qui construit son stack complet en Europe est le seul garant d'une indépendance technologique durable pour nos clients régulés. »</w:t>
            </w:r>
          </w:p>
          <w:p>
            <w:r>
              <w:rPr>
                <w:rFonts w:ascii="Calibri" w:hAnsi="Calibri"/>
                <w:b w:val="0"/>
                <w:i w:val="0"/>
                <w:color w:val="BC997A"/>
                <w:sz w:val="18"/>
              </w:rPr>
              <w:t>— Jane Example, PDG Acme Cloud (fictive), 2026-03-15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Stratégie déployée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Infra / cloud — </w:t>
      </w:r>
      <w:r>
        <w:rPr>
          <w:rFonts w:ascii="Calibri" w:hAnsi="Calibri"/>
          <w:b w:val="0"/>
          <w:i w:val="0"/>
          <w:color w:val="3D1D08"/>
          <w:sz w:val="20"/>
        </w:rPr>
        <w:t>3 data centers (Paris, Lyon, Luxembourg), tous qualifiés par l'autorité cyber EU imaginaire. Parc GPU 2 générations derrière les hyperscalers US, compensé par une optimisation modèle (quantization 8-bit par défaut). Pas de dépendance hyperscaler US identifiée.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Modèles IA — </w:t>
      </w:r>
      <w:r>
        <w:rPr>
          <w:rFonts w:ascii="Calibri" w:hAnsi="Calibri"/>
          <w:b w:val="0"/>
          <w:i w:val="0"/>
          <w:color w:val="3D1D08"/>
          <w:sz w:val="20"/>
        </w:rPr>
        <w:t>Partenariat exclusif avec Mistral AI pour LLMaaS sur cloud souverain. Self-hosting d'embeddings open-weight pour la partie RAG.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Données et gouvernance — </w:t>
      </w:r>
      <w:r>
        <w:rPr>
          <w:rFonts w:ascii="Calibri" w:hAnsi="Calibri"/>
          <w:b w:val="0"/>
          <w:i w:val="0"/>
          <w:color w:val="3D1D08"/>
          <w:sz w:val="20"/>
        </w:rPr>
        <w:t>Contrats clients avec clause d'exclusivité hébergement FR/EU + immunité extraterritoriale revendiquée.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Gouvernance / organisation — </w:t>
      </w:r>
      <w:r>
        <w:rPr>
          <w:rFonts w:ascii="Calibri" w:hAnsi="Calibri"/>
          <w:b w:val="0"/>
          <w:i w:val="0"/>
          <w:color w:val="3D1D08"/>
          <w:sz w:val="20"/>
        </w:rPr>
        <w:t>400 collaborateurs, dont 60 ETP IA dédiés. CEO Jane Example, CTO John Sample (noms fictifs).</w:t>
      </w:r>
    </w:p>
    <w:p/>
    <w:p>
      <w:r>
        <w:rPr>
          <w:rFonts w:ascii="Georgia" w:hAnsi="Georgia"/>
          <w:b/>
          <w:i w:val="0"/>
          <w:color w:val="3D1D08"/>
          <w:sz w:val="28"/>
        </w:rPr>
        <w:t>Chiffres-clés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 2025 estimé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85 M€ (fictif)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2025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Clients régulés actifs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~120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2026-Q1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CAPEX cloud 2023-2026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350 M€ cumulés (fictif)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2023-2026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Maturité et approche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Production opérationnelle sur périmètre régulé. Approche by design pure — pas de legacy hyperscaler à migrer.</w:t>
      </w:r>
    </w:p>
    <w:p/>
    <w:p>
      <w:r>
        <w:rPr>
          <w:rFonts w:ascii="Georgia" w:hAnsi="Georgia"/>
          <w:b/>
          <w:i w:val="0"/>
          <w:color w:val="3D1D08"/>
          <w:sz w:val="28"/>
        </w:rPr>
        <w:t>Scoring par critère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Poids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 /5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Maturité de la démarche de souveraineté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Plateforme en production groupe-wide. Déploiement multi-client référencé.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Indépendance du stack (infra / modèles / données)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Cloud EU qualifié + modèles UE + capital EU + data souverain. 3 couches indépendantes.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Ampleur de l'investissement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350 M€ CAPEX cumulés, 60 ETP dédiés IA.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Pertinence pour un industriel sous-traitant défense/aéro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Secteur proche (cloud pour industriels) mais pas directement donneur d'ordre.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Approche « by design » vs « remédiation legacy »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100 % by design, pas de legacy à migrer.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Traction et résultats démontrés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120 clients régulés actifs, rentabilité atteinte 2025.</w:t>
            </w:r>
          </w:p>
        </w:tc>
      </w:tr>
    </w:tbl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Angles morts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0E5876"/>
                <w:sz w:val="20"/>
              </w:rPr>
              <w:t>ANGLES MORTS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1. Dépendance NVIDIA pour le parc GPU — inévitable à court terme, tous les acteurs EU l'ont.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2. Parc GPU 2 générations derrière les hyperscalers US — limite la profondeur des modèles servis.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Trous d'information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Détails du parc GPU exact (nombre de cartes, génération)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Structure capitalistique fine (actionnaires minoritaires)</w:t>
      </w:r>
    </w:p>
    <w:p>
      <w:r>
        <w:br w:type="page"/>
      </w:r>
    </w:p>
    <w:p>
      <w:pPr>
        <w:keepNext/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05. </w:t>
      </w:r>
      <w:r>
        <w:rPr>
          <w:rFonts w:ascii="Georgia" w:hAnsi="Georgia"/>
          <w:b/>
          <w:i w:val="0"/>
          <w:color w:val="3D1D08"/>
          <w:sz w:val="40"/>
        </w:rPr>
        <w:t>Nova Industries (fictif) — 3.35 / 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EN BREF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Rang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#2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Score pondéré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3.35 / 5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Verdict red-team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À NUANCER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Positionnement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Industriel avec stack IA in-house, voie hybride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Stack emblématique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Plateforme IA interne + cloud EU + modèles mixtes UE/US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Contexte et déclencheur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Nova Industries est un industriel fictif de taille moyenne, qui a décidé en 2023 de construire sa propre plateforme IA en interne plutôt que de dépendre d'éditeurs. Cloud EU pour la prod, modèles mix UE (Mistral) + OpenAI pour le prototype. Contenu synthétique.</w:t>
      </w:r>
    </w:p>
    <w:p/>
    <w:p>
      <w:r>
        <w:rPr>
          <w:rFonts w:ascii="Georgia" w:hAnsi="Georgia"/>
          <w:b/>
          <w:i w:val="0"/>
          <w:color w:val="3D1D08"/>
          <w:sz w:val="28"/>
        </w:rPr>
        <w:t>Stratégie déployée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Infra / cloud — </w:t>
      </w:r>
      <w:r>
        <w:rPr>
          <w:rFonts w:ascii="Calibri" w:hAnsi="Calibri"/>
          <w:b w:val="0"/>
          <w:i w:val="0"/>
          <w:color w:val="3D1D08"/>
          <w:sz w:val="20"/>
        </w:rPr>
        <w:t>Cloud EU qualifié pour prod, AWS pour dev (data non-sensible).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Modèles IA — </w:t>
      </w:r>
      <w:r>
        <w:rPr>
          <w:rFonts w:ascii="Calibri" w:hAnsi="Calibri"/>
          <w:b w:val="0"/>
          <w:i w:val="0"/>
          <w:color w:val="3D1D08"/>
          <w:sz w:val="20"/>
        </w:rPr>
        <w:t>Mistral en prod, OpenAI en dev. Self-hosting d'embeddings open-weight.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Données et gouvernance — </w:t>
      </w:r>
      <w:r>
        <w:rPr>
          <w:rFonts w:ascii="Calibri" w:hAnsi="Calibri"/>
          <w:b w:val="0"/>
          <w:i w:val="0"/>
          <w:color w:val="3D1D08"/>
          <w:sz w:val="20"/>
        </w:rPr>
        <w:t>Classification des données en 3 tiers : public / interne / régulé. Seul le régulé passe par cloud souverain.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Gouvernance / organisation — </w:t>
      </w:r>
      <w:r>
        <w:rPr>
          <w:rFonts w:ascii="Calibri" w:hAnsi="Calibri"/>
          <w:b w:val="0"/>
          <w:i w:val="0"/>
          <w:color w:val="3D1D08"/>
          <w:sz w:val="20"/>
        </w:rPr>
        <w:t>15 ETP IA internes, pas de filiale dédiée.</w:t>
      </w:r>
    </w:p>
    <w:p/>
    <w:p>
      <w:r>
        <w:rPr>
          <w:rFonts w:ascii="Georgia" w:hAnsi="Georgia"/>
          <w:b/>
          <w:i w:val="0"/>
          <w:color w:val="3D1D08"/>
          <w:sz w:val="28"/>
        </w:rPr>
        <w:t>Chiffres-clés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 groupe 2024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450 M€ (fictif)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2024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CAPEX IA cumulé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12 M€ (2023-26)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2023-2026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Maturité et approche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POC en cours de passage en production. Approche hybride assumée selon criticité des données.</w:t>
      </w:r>
    </w:p>
    <w:p/>
    <w:p>
      <w:r>
        <w:rPr>
          <w:rFonts w:ascii="Georgia" w:hAnsi="Georgia"/>
          <w:b/>
          <w:i w:val="0"/>
          <w:color w:val="3D1D08"/>
          <w:sz w:val="28"/>
        </w:rPr>
        <w:t>Scoring par critère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Poids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 /5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Maturité de la démarche de souveraineté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POC avancés, premiers cas d'usage en production.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Indépendance du stack (infra / modèles / données)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Cloud EU + modèles mixtes — 2 couches sur 3 souveraines.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Ampleur de l'investissement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12 M€ cumulés — initiative BU pas programme groupe.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Pertinence pour un industriel sous-traitant défense/aéro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Industriel de taille comparable, contraintes similaires.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Approche « by design » vs « remédiation legacy »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Dominante by design sur périmètre critique, remédiation sur le reste.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Traction et résultats démontrés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Premiers cas en prod, peu de REX externes publiés.</w:t>
            </w:r>
          </w:p>
        </w:tc>
      </w:tr>
    </w:tbl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Angles morts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BB57E"/>
                <w:sz w:val="20"/>
              </w:rPr>
              <w:t>ANGLES MORTS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1. Effectif IA limité à 15 ETP — fragilité sur turnover.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2. AWS dev non-sensible reste une dépendance extraterritoriale.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Trous d'information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Métriques d'adoption interne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Roadmap 2027+</w:t>
      </w:r>
    </w:p>
    <w:p>
      <w:r>
        <w:br w:type="page"/>
      </w:r>
    </w:p>
    <w:p>
      <w:pPr>
        <w:keepNext/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06. </w:t>
      </w:r>
      <w:r>
        <w:rPr>
          <w:rFonts w:ascii="Georgia" w:hAnsi="Georgia"/>
          <w:b/>
          <w:i w:val="0"/>
          <w:color w:val="3D1D08"/>
          <w:sz w:val="40"/>
        </w:rPr>
        <w:t>Demo Hybrid Systems (fictif) — 2.95 / 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EN BREF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Rang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#3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Score pondéré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2.95 / 5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Verdict red-team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À NUANCER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Positionnement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Hybride assumé, voie intermédiaire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Stack emblématique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AWS dev + cloud EU prod régulée + OpenAI prototype + Mistral prod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Contexte et déclencheur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Demo Hybrid Systems est un éditeur fictif qui assume une stratégie hybride : US pour ce qui est rapide et scalable, souverain pour ce qui est régulé. Modèle pragmatique courant sur le marché réel, représenté ici de manière synthétique.</w:t>
      </w:r>
    </w:p>
    <w:p/>
    <w:p>
      <w:r>
        <w:rPr>
          <w:rFonts w:ascii="Georgia" w:hAnsi="Georgia"/>
          <w:b/>
          <w:i w:val="0"/>
          <w:color w:val="3D1D08"/>
          <w:sz w:val="28"/>
        </w:rPr>
        <w:t>Stratégie déployée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Infra / cloud — </w:t>
      </w:r>
      <w:r>
        <w:rPr>
          <w:rFonts w:ascii="Calibri" w:hAnsi="Calibri"/>
          <w:b w:val="0"/>
          <w:i w:val="0"/>
          <w:color w:val="3D1D08"/>
          <w:sz w:val="20"/>
        </w:rPr>
        <w:t>AWS pour dev et cas non-sensibles. Cloud EU qualifié pour clients régulés. Migration progressive vers souverain sur les renouvellements contrats.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Modèles IA — </w:t>
      </w:r>
      <w:r>
        <w:rPr>
          <w:rFonts w:ascii="Calibri" w:hAnsi="Calibri"/>
          <w:b w:val="0"/>
          <w:i w:val="0"/>
          <w:color w:val="3D1D08"/>
          <w:sz w:val="20"/>
        </w:rPr>
        <w:t>OpenAI pour POC rapide, Mistral pour prod.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Données et gouvernance — </w:t>
      </w:r>
      <w:r>
        <w:rPr>
          <w:rFonts w:ascii="Calibri" w:hAnsi="Calibri"/>
          <w:b w:val="0"/>
          <w:i w:val="0"/>
          <w:color w:val="3D1D08"/>
          <w:sz w:val="20"/>
        </w:rPr>
        <w:t>Segmentation stricte data en fonction du cloud (dev data sur AWS, prod data sur cloud EU).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Gouvernance / organisation — </w:t>
      </w:r>
      <w:r>
        <w:rPr>
          <w:rFonts w:ascii="Calibri" w:hAnsi="Calibri"/>
          <w:b w:val="0"/>
          <w:i w:val="0"/>
          <w:color w:val="3D1D08"/>
          <w:sz w:val="20"/>
        </w:rPr>
        <w:t>200 collaborateurs, dont 25 ETP IA.</w:t>
      </w:r>
    </w:p>
    <w:p/>
    <w:p>
      <w:r>
        <w:rPr>
          <w:rFonts w:ascii="Georgia" w:hAnsi="Georgia"/>
          <w:b/>
          <w:i w:val="0"/>
          <w:color w:val="3D1D08"/>
          <w:sz w:val="28"/>
        </w:rPr>
        <w:t>Chiffres-clés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 2024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35 M€ (fictif)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2024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Clients EU/US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60% EU / 40% US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2026-Q1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Maturité et approche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Production sur périmètre régulé + non-régulé. Approche remédiation assumée, verdict transparent devant clients.</w:t>
      </w:r>
    </w:p>
    <w:p/>
    <w:p>
      <w:r>
        <w:rPr>
          <w:rFonts w:ascii="Georgia" w:hAnsi="Georgia"/>
          <w:b/>
          <w:i w:val="0"/>
          <w:color w:val="3D1D08"/>
          <w:sz w:val="28"/>
        </w:rPr>
        <w:t>Scoring par critère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Poids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 /5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Maturité de la démarche de souveraineté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Déploiement multi-client opérationnel.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Indépendance du stack (infra / modèles / données)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 stacks en parallèle — pas 100 % souverain.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Ampleur de l'investissement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Taille modeste.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Pertinence pour un industriel sous-traitant défense/aéro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Secteur différent mais modèle hybride transférable.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Approche « by design » vs « remédiation legacy »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Mix équilibré.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Traction et résultats démontrés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Clients EU et US actifs, adoption mesurée.</w:t>
            </w:r>
          </w:p>
        </w:tc>
      </w:tr>
    </w:tbl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Angles morts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BB57E"/>
                <w:sz w:val="20"/>
              </w:rPr>
              <w:t>ANGLES MORTS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1. Dépendance AWS fragilise le discours souverain auprès des clients régulés.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Trous d'information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Détails de la migration progressive vers souverain</w:t>
      </w:r>
    </w:p>
    <w:p>
      <w:r>
        <w:br w:type="page"/>
      </w:r>
    </w:p>
    <w:p>
      <w:pPr>
        <w:keepNext/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07. </w:t>
      </w:r>
      <w:r>
        <w:rPr>
          <w:rFonts w:ascii="Georgia" w:hAnsi="Georgia"/>
          <w:b/>
          <w:i w:val="0"/>
          <w:color w:val="3D1D08"/>
          <w:sz w:val="40"/>
        </w:rPr>
        <w:t>Sample Legacy Corp (fictif) — 1.80 / 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EN BREF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Rang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#4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Score pondéré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1.80 / 5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Verdict red-team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REFAIRE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Positionnement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Remédiation débutante</w:t>
            </w:r>
          </w:p>
          <w:p>
            <w:r>
              <w:rPr>
                <w:rFonts w:ascii="Calibri" w:hAnsi="Calibri"/>
                <w:b/>
                <w:i w:val="0"/>
                <w:color w:val="3D1D08"/>
                <w:sz w:val="20"/>
              </w:rPr>
              <w:t xml:space="preserve">Stack emblématique — </w:t>
            </w:r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Azure historique + Microsoft Copilot + début de cloisonnement données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Contexte et déclencheur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Sample Legacy Corp est un acteur fictif qui a une stack Microsoft historique (Azure, Office 365, Copilot) et commence à s'interroger sur la souveraineté depuis 2024. Contenu synthétique pour illustrer le profil remédiation débutante.</w:t>
      </w:r>
    </w:p>
    <w:p/>
    <w:p>
      <w:r>
        <w:rPr>
          <w:rFonts w:ascii="Georgia" w:hAnsi="Georgia"/>
          <w:b/>
          <w:i w:val="0"/>
          <w:color w:val="3D1D08"/>
          <w:sz w:val="28"/>
        </w:rPr>
        <w:t>Stratégie déployée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Infra / cloud — </w:t>
      </w:r>
      <w:r>
        <w:rPr>
          <w:rFonts w:ascii="Calibri" w:hAnsi="Calibri"/>
          <w:b w:val="0"/>
          <w:i w:val="0"/>
          <w:color w:val="3D1D08"/>
          <w:sz w:val="20"/>
        </w:rPr>
        <w:t>100 % Azure pour prod et dev. Début d'évaluation d'un cloud souverain pour les données sensibles.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Modèles IA — </w:t>
      </w:r>
      <w:r>
        <w:rPr>
          <w:rFonts w:ascii="Calibri" w:hAnsi="Calibri"/>
          <w:b w:val="0"/>
          <w:i w:val="0"/>
          <w:color w:val="3D1D08"/>
          <w:sz w:val="20"/>
        </w:rPr>
        <w:t>Microsoft Copilot + OpenAI via Azure. Pas d'usage Mistral.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Données et gouvernance — </w:t>
      </w:r>
      <w:r>
        <w:rPr>
          <w:rFonts w:ascii="Calibri" w:hAnsi="Calibri"/>
          <w:b w:val="0"/>
          <w:i w:val="0"/>
          <w:color w:val="3D1D08"/>
          <w:sz w:val="20"/>
        </w:rPr>
        <w:t>Début de classification data. DPO récemment renforcé.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Gouvernance / organisation — </w:t>
      </w:r>
      <w:r>
        <w:rPr>
          <w:rFonts w:ascii="Calibri" w:hAnsi="Calibri"/>
          <w:b w:val="0"/>
          <w:i w:val="0"/>
          <w:color w:val="3D1D08"/>
          <w:sz w:val="20"/>
        </w:rPr>
        <w:t>3 ETP IA dédiés, 100 collaborateurs IT.</w:t>
      </w:r>
    </w:p>
    <w:p/>
    <w:p>
      <w:r>
        <w:rPr>
          <w:rFonts w:ascii="Georgia" w:hAnsi="Georgia"/>
          <w:b/>
          <w:i w:val="0"/>
          <w:color w:val="3D1D08"/>
          <w:sz w:val="28"/>
        </w:rPr>
        <w:t>Chiffres-clés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  <w:tc>
          <w:tcPr>
            <w:tcW w:type="dxa" w:w="3324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Dépendance Microsoft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~90 %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2026-Q1</w:t>
            </w:r>
          </w:p>
        </w:tc>
      </w:tr>
      <w:tr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Budget remédiation 2026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1,5 M€ (fictif)</w:t>
            </w:r>
          </w:p>
        </w:tc>
        <w:tc>
          <w:tcPr>
            <w:tcW w:type="dxa" w:w="3324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2026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Maturité et approche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Phase d'étude. Pas de production souveraine à ce jour. Approche remédiation pure dans un stack US historique.</w:t>
      </w:r>
    </w:p>
    <w:p/>
    <w:p>
      <w:r>
        <w:rPr>
          <w:rFonts w:ascii="Georgia" w:hAnsi="Georgia"/>
          <w:b/>
          <w:i w:val="0"/>
          <w:color w:val="3D1D08"/>
          <w:sz w:val="28"/>
        </w:rPr>
        <w:t>Scoring par critère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Poids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 /5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Maturité de la démarche de souveraineté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Roadmap annoncée, pas de livrable opérationnel.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Indépendance du stack (infra / modèles / données)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Full hyperscalers US + modèles US.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Ampleur de l'investissement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Budget modeste, pas de filiale dédiée.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Pertinence pour un industriel sous-traitant défense/aéro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Secteur différent mais illustre la voie remédiation.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Approche « by design » vs « remédiation legacy »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100 % remédiation.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Traction et résultats démontrés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15%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Peu de concret publié.</w:t>
            </w:r>
          </w:p>
        </w:tc>
      </w:tr>
    </w:tbl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Angles morts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ANGLES MORTS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1. Dépendance Microsoft 90 % — exposition Cloud Act majeure.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2. Budget remédiation insuffisant vs ambition.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Trous d'information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Détails de la roadmap remédiation</w:t>
      </w:r>
    </w:p>
    <w:p>
      <w:pPr>
        <w:ind w:left="283"/>
      </w:pPr>
      <w:r>
        <w:rPr>
          <w:rFonts w:ascii="Calibri" w:hAnsi="Calibri"/>
          <w:b w:val="0"/>
          <w:i w:val="0"/>
          <w:color w:val="BC997A"/>
          <w:sz w:val="20"/>
        </w:rPr>
        <w:t>• Engagement capex long terme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08. </w:t>
      </w:r>
      <w:r>
        <w:rPr>
          <w:rFonts w:ascii="Georgia" w:hAnsi="Georgia"/>
          <w:b/>
          <w:i w:val="0"/>
          <w:color w:val="3D1D08"/>
          <w:sz w:val="40"/>
        </w:rPr>
        <w:t>Rapport critique</w:t>
      </w:r>
    </w:p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Items BLOQUANTS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BLOQUANT #1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DEMO SYNTHÉTIQUE — ne pas utiliser ce bench comme référence méthodologique pour une mission réelle. Les chiffres et les acteurs sont fictifs.</w:t>
            </w:r>
          </w:p>
        </w:tc>
      </w:tr>
    </w:tbl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Avertissements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BB57E"/>
                <w:sz w:val="20"/>
              </w:rPr>
              <w:t>AVERTISSEMENT #1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Ce bench est entièrement synthétique — tous les chiffres et citations sont fictifs. À n'utiliser QUE comme exemple de rendu du stack, pas comme référence méthodologique pour une mission réelle.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BB57E"/>
                <w:sz w:val="20"/>
              </w:rPr>
              <w:t>AVERTISSEMENT #2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Les sources pointent toutes vers example.com (placeholders) — non exploitables en contexte réel.</w:t>
            </w:r>
          </w:p>
        </w:tc>
      </w:tr>
    </w:tbl>
    <w:p>
      <w:r>
        <w:rPr>
          <w:rFonts w:ascii="Georgia" w:hAnsi="Georgia"/>
          <w:b/>
          <w:i w:val="0"/>
          <w:color w:val="3D1D08"/>
          <w:sz w:val="28"/>
        </w:rPr>
        <w:t>Observations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0"/>
        </w:rPr>
        <w:t xml:space="preserve">1. </w:t>
      </w:r>
      <w:r>
        <w:rPr>
          <w:rFonts w:ascii="Calibri" w:hAnsi="Calibri"/>
          <w:b w:val="0"/>
          <w:i w:val="0"/>
          <w:color w:val="3D1D08"/>
          <w:sz w:val="20"/>
        </w:rPr>
        <w:t>Le panel synthétique illustre les 3 voies canoniques (by design, hybride, remédiation) pour démontrer la lisibilité du livrable sur une typologie contrastée.</w:t>
      </w:r>
    </w:p>
    <w:p>
      <w:pPr>
        <w:ind w:left="283"/>
      </w:pPr>
      <w:r>
        <w:rPr>
          <w:rFonts w:ascii="Calibri" w:hAnsi="Calibri"/>
          <w:b/>
          <w:i w:val="0"/>
          <w:color w:val="CA3F31"/>
          <w:sz w:val="20"/>
        </w:rPr>
        <w:t xml:space="preserve">2. </w:t>
      </w:r>
      <w:r>
        <w:rPr>
          <w:rFonts w:ascii="Calibri" w:hAnsi="Calibri"/>
          <w:b w:val="0"/>
          <w:i w:val="0"/>
          <w:color w:val="3D1D08"/>
          <w:sz w:val="20"/>
        </w:rPr>
        <w:t>Les poids de grille lisi-souverainete produisent un spread de score de 1.80 à 4.40 — discrimination suffisante pour la démo.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09. </w:t>
      </w:r>
      <w:r>
        <w:rPr>
          <w:rFonts w:ascii="Georgia" w:hAnsi="Georgia"/>
          <w:b/>
          <w:i w:val="0"/>
          <w:color w:val="3D1D08"/>
          <w:sz w:val="40"/>
        </w:rPr>
        <w:t>Rapport red-team</w:t>
      </w:r>
    </w:p>
    <w:p/>
    <w:p>
      <w:r>
        <w:rPr>
          <w:rFonts w:ascii="Georgia" w:hAnsi="Georgia"/>
          <w:b/>
          <w:i w:val="0"/>
          <w:color w:val="3D1D08"/>
          <w:sz w:val="28"/>
        </w:rPr>
        <w:t>Patterns de fragilité communs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1. </w:t>
      </w:r>
      <w:r>
        <w:rPr>
          <w:rFonts w:ascii="Calibri" w:hAnsi="Calibri"/>
          <w:b w:val="0"/>
          <w:i w:val="0"/>
          <w:color w:val="3D1D08"/>
          <w:sz w:val="20"/>
        </w:rPr>
        <w:t>Dépendance NVIDIA universelle sur le silicium GPU — pas de différenciation possible à court terme.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2. </w:t>
      </w:r>
      <w:r>
        <w:rPr>
          <w:rFonts w:ascii="Calibri" w:hAnsi="Calibri"/>
          <w:b w:val="0"/>
          <w:i w:val="0"/>
          <w:color w:val="3D1D08"/>
          <w:sz w:val="20"/>
        </w:rPr>
        <w:t>Maturité hétérogène sur la remédiation — seuls 50 % des acteurs ont un programme structuré.</w:t>
      </w:r>
    </w:p>
    <w:p/>
    <w:p>
      <w:r>
        <w:rPr>
          <w:rFonts w:ascii="Georgia" w:hAnsi="Georgia"/>
          <w:b/>
          <w:i w:val="0"/>
          <w:color w:val="3D1D08"/>
          <w:sz w:val="28"/>
        </w:rPr>
        <w:t>Verdicts par acteur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Acteur</w:t>
            </w:r>
          </w:p>
        </w:tc>
        <w:tc>
          <w:tcPr>
            <w:tcW w:type="dxa" w:w="4986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Acme Cloud SAS</w:t>
            </w:r>
          </w:p>
        </w:tc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0E5876"/>
                <w:sz w:val="18"/>
              </w:rPr>
              <w:t>TIENT LA ROUTE</w:t>
            </w:r>
          </w:p>
        </w:tc>
      </w:tr>
      <w:tr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Nova Industries (fictif)</w:t>
            </w:r>
          </w:p>
        </w:tc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CBB57E"/>
                <w:sz w:val="18"/>
              </w:rPr>
              <w:t>À NUANCER</w:t>
            </w:r>
          </w:p>
        </w:tc>
      </w:tr>
      <w:tr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Demo Hybrid Systems (fictif)</w:t>
            </w:r>
          </w:p>
        </w:tc>
        <w:tc>
          <w:tcPr>
            <w:tcW w:type="dxa" w:w="4986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  <w:shd w:val="clear" w:color="auto" w:fill="EEEBE3"/>
          </w:tcPr>
          <w:p>
            <w:r>
              <w:rPr>
                <w:rFonts w:ascii="Calibri" w:hAnsi="Calibri"/>
                <w:b/>
                <w:i w:val="0"/>
                <w:color w:val="CBB57E"/>
                <w:sz w:val="18"/>
              </w:rPr>
              <w:t>À NUANCER</w:t>
            </w:r>
          </w:p>
        </w:tc>
      </w:tr>
    </w:tbl>
    <w:p/>
    <w:p>
      <w:pPr>
        <w:keepNext/>
      </w:pPr>
      <w:r>
        <w:rPr>
          <w:rFonts w:ascii="Georgia" w:hAnsi="Georgia"/>
          <w:b/>
          <w:i w:val="0"/>
          <w:color w:val="3D1D08"/>
          <w:sz w:val="28"/>
        </w:rPr>
        <w:t>Messages à nuancer devant le COMEX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0E5876"/>
                <w:sz w:val="20"/>
              </w:rPr>
              <w:t>MESSAGE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Le panel synthétique démontre que la voie by design est rare en pratique — à utiliser comme cadrage pédagogique.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10. </w:t>
      </w:r>
      <w:r>
        <w:rPr>
          <w:rFonts w:ascii="Georgia" w:hAnsi="Georgia"/>
          <w:b/>
          <w:i w:val="0"/>
          <w:color w:val="3D1D08"/>
          <w:sz w:val="40"/>
        </w:rPr>
        <w:t>Analyse transverse</w:t>
      </w:r>
    </w:p>
    <w:p/>
    <w:p>
      <w:r>
        <w:rPr>
          <w:rFonts w:ascii="Georgia" w:hAnsi="Georgia"/>
          <w:b/>
          <w:i w:val="0"/>
          <w:color w:val="3D1D08"/>
          <w:sz w:val="28"/>
        </w:rPr>
        <w:t>Patterns communs — ce que font ces acteurs pour s'émanciper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1. </w:t>
      </w:r>
      <w:r>
        <w:rPr>
          <w:rFonts w:ascii="Calibri" w:hAnsi="Calibri"/>
          <w:b w:val="0"/>
          <w:i w:val="0"/>
          <w:color w:val="3D1D08"/>
          <w:sz w:val="20"/>
        </w:rPr>
        <w:t>Tous les acteurs du panel synthétique ont une stratégie IA à long terme identifiable.</w:t>
      </w:r>
    </w:p>
    <w:p>
      <w:r>
        <w:rPr>
          <w:rFonts w:ascii="Calibri" w:hAnsi="Calibri"/>
          <w:b/>
          <w:i w:val="0"/>
          <w:color w:val="CA3F31"/>
          <w:sz w:val="20"/>
        </w:rPr>
        <w:t xml:space="preserve">2. </w:t>
      </w:r>
      <w:r>
        <w:rPr>
          <w:rFonts w:ascii="Calibri" w:hAnsi="Calibri"/>
          <w:b w:val="0"/>
          <w:i w:val="0"/>
          <w:color w:val="3D1D08"/>
          <w:sz w:val="20"/>
        </w:rPr>
        <w:t>La dépendance NVIDIA sur le GPU est universelle — pas de différenciation possible à court terme sur ce point.</w:t>
      </w:r>
    </w:p>
    <w:p/>
    <w:p>
      <w:r>
        <w:rPr>
          <w:rFonts w:ascii="Georgia" w:hAnsi="Georgia"/>
          <w:b/>
          <w:i w:val="0"/>
          <w:color w:val="3D1D08"/>
          <w:sz w:val="28"/>
        </w:rPr>
        <w:t>Deux voies observées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Remédiation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By design</w:t>
            </w:r>
          </w:p>
        </w:tc>
        <w:tc>
          <w:tcPr>
            <w:tcW w:type="dxa" w:w="2493"/>
            <w:shd w:val="clear" w:color="auto" w:fill="3D1D08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Hybride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Cloud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AWS/Azure + DLP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Cloud EU qualifié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AWS dev + EU prod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Modèles IA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OpenAI + filtrage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Mistral + self-host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OpenAI dev + Mistral prod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Capital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US majoritaire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EU 100 %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Mixte</w:t>
            </w:r>
          </w:p>
        </w:tc>
      </w:tr>
      <w:tr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shd w:val="clear" w:color="auto" w:fill="EEEBE3"/>
            <w:vAlign w:val="top"/>
          </w:tcPr>
          <w:p>
            <w:r>
              <w:rPr>
                <w:rFonts w:ascii="Calibri" w:hAnsi="Calibri"/>
                <w:b/>
                <w:i w:val="0"/>
                <w:color w:val="3D1D08"/>
                <w:sz w:val="18"/>
              </w:rPr>
              <w:t>Gouvernance data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Classification tardive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Classification native</w:t>
            </w:r>
          </w:p>
        </w:tc>
        <w:tc>
          <w:tcPr>
            <w:tcW w:type="dxa" w:w="249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  <w:vAlign w:val="top"/>
          </w:tcPr>
          <w:p>
            <w:r>
              <w:rPr>
                <w:rFonts w:ascii="Calibri" w:hAnsi="Calibri"/>
                <w:b w:val="0"/>
                <w:i w:val="0"/>
                <w:color w:val="3D1D08"/>
                <w:sz w:val="18"/>
              </w:rPr>
              <w:t>Classification rigoureuse</w:t>
            </w:r>
          </w:p>
        </w:tc>
      </w:tr>
    </w:tbl>
    <w:p/>
    <w:p>
      <w:r>
        <w:rPr>
          <w:rFonts w:ascii="Georgia" w:hAnsi="Georgia"/>
          <w:b/>
          <w:i w:val="0"/>
          <w:color w:val="3D1D08"/>
          <w:sz w:val="28"/>
        </w:rPr>
        <w:t>Impact de l'IA sur la résilience numérique</w:t>
      </w:r>
    </w:p>
    <w:p>
      <w:pPr>
        <w:jc w:val="left"/>
      </w:pPr>
      <w:r>
        <w:rPr>
          <w:rFonts w:ascii="Calibri" w:hAnsi="Calibri"/>
          <w:b w:val="0"/>
          <w:i w:val="0"/>
          <w:color w:val="3D1D08"/>
          <w:sz w:val="20"/>
        </w:rPr>
        <w:t>L'IA souveraine reste un positionnement de niche — seul 1 acteur sur 4 du panel synthétique est pure by design. Cohérent avec les benchs réels sur marchés régulés : la remédiation progressive est statistiquement dominante.</w:t>
      </w:r>
    </w:p>
    <w:p>
      <w:r>
        <w:br w:type="page"/>
      </w:r>
    </w:p>
    <w:p>
      <w:pPr>
        <w:keepNext/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11. </w:t>
      </w:r>
      <w:r>
        <w:rPr>
          <w:rFonts w:ascii="Georgia" w:hAnsi="Georgia"/>
          <w:b/>
          <w:i w:val="0"/>
          <w:color w:val="3D1D08"/>
          <w:sz w:val="40"/>
        </w:rPr>
        <w:t>Enseignements pour Demo Corp (exemple synthétique public)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EBE3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R1 — Modèle d'ingénierie à étudier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Pour un industriel cherchant à construire un stack IA interne, Nova Industries (fictif) illustre un path crédible — hybride assumé, investissement mesuré, résultats progressifs.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BF1ED"/>
            <w:tcBorders>
              <w:top w:val="single" w:sz="4" w:color="CBB57E"/>
              <w:left w:val="single" w:sz="4" w:color="CBB57E"/>
              <w:bottom w:val="single" w:sz="4" w:color="CBB57E"/>
              <w:right w:val="single" w:sz="4" w:color="CBB57E"/>
            </w:tcBorders>
          </w:tcPr>
          <w:p>
            <w:r>
              <w:rPr>
                <w:rFonts w:ascii="Calibri" w:hAnsi="Calibri"/>
                <w:b/>
                <w:i w:val="0"/>
                <w:color w:val="CA3F31"/>
                <w:sz w:val="20"/>
              </w:rPr>
              <w:t>ATTENTION / CAVEAT</w:t>
            </w:r>
          </w:p>
          <w:p>
            <w:r>
              <w:rPr>
                <w:rFonts w:ascii="Calibri" w:hAnsi="Calibri"/>
                <w:b w:val="0"/>
                <w:i w:val="0"/>
                <w:color w:val="3D1D08"/>
                <w:sz w:val="20"/>
              </w:rPr>
              <w:t>Panel synthétique — à retrianguler avec des références réelles avant toute décision.</w:t>
            </w:r>
          </w:p>
        </w:tc>
      </w:tr>
    </w:tbl>
    <w:p>
      <w:pPr>
        <w:jc w:val="left"/>
      </w:pPr>
      <w:r>
        <w:rPr>
          <w:rFonts w:ascii="Georgia" w:hAnsi="Georgia"/>
          <w:b/>
          <w:i w:val="0"/>
          <w:color w:val="CA3F31"/>
          <w:sz w:val="40"/>
        </w:rPr>
        <w:t xml:space="preserve">12. </w:t>
      </w:r>
      <w:r>
        <w:rPr>
          <w:rFonts w:ascii="Georgia" w:hAnsi="Georgia"/>
          <w:b/>
          <w:i w:val="0"/>
          <w:color w:val="3D1D08"/>
          <w:sz w:val="40"/>
        </w:rPr>
        <w:t>Annexe — sources</w:t>
      </w:r>
    </w:p>
    <w:p/>
    <w:p>
      <w:r>
        <w:rPr>
          <w:rFonts w:ascii="Georgia" w:hAnsi="Georgia"/>
          <w:b/>
          <w:i w:val="0"/>
          <w:color w:val="3D1D08"/>
          <w:sz w:val="28"/>
        </w:rPr>
        <w:t>Acme Cloud SAS</w:t>
      </w:r>
    </w:p>
    <w:p>
      <w:r>
        <w:rPr>
          <w:rFonts w:ascii="Calibri" w:hAnsi="Calibri"/>
          <w:b/>
          <w:i w:val="0"/>
          <w:color w:val="CA3F31"/>
          <w:sz w:val="18"/>
        </w:rPr>
        <w:t xml:space="preserve">[acme-1] </w:t>
      </w:r>
      <w:r>
        <w:rPr>
          <w:rFonts w:ascii="Calibri" w:hAnsi="Calibri"/>
          <w:b/>
          <w:i w:val="0"/>
          <w:color w:val="3D1D08"/>
          <w:sz w:val="18"/>
        </w:rPr>
        <w:t xml:space="preserve">Corporate Acme Cloud (fictif) — </w:t>
      </w:r>
      <w:r>
        <w:rPr>
          <w:rFonts w:ascii="Calibri" w:hAnsi="Calibri"/>
          <w:b w:val="0"/>
          <w:i w:val="0"/>
          <w:color w:val="BC997A"/>
          <w:sz w:val="18"/>
        </w:rPr>
        <w:t xml:space="preserve"> (2026) — primary — fiabilité 4/5</w:t>
      </w:r>
    </w:p>
    <w:p>
      <w:pPr>
        <w:ind w:left="283"/>
      </w:pPr>
      <w:r>
        <w:rPr>
          <w:rFonts w:ascii="Calibri" w:hAnsi="Calibri"/>
          <w:b w:val="0"/>
          <w:i/>
          <w:color w:val="0E5876"/>
          <w:sz w:val="16"/>
        </w:rPr>
        <w:t>https://example.com/acme-cloud</w:t>
      </w:r>
    </w:p>
    <w:p>
      <w:r>
        <w:rPr>
          <w:rFonts w:ascii="Calibri" w:hAnsi="Calibri"/>
          <w:b/>
          <w:i w:val="0"/>
          <w:color w:val="CA3F31"/>
          <w:sz w:val="18"/>
        </w:rPr>
        <w:t xml:space="preserve">[acme-2] </w:t>
      </w:r>
      <w:r>
        <w:rPr>
          <w:rFonts w:ascii="Calibri" w:hAnsi="Calibri"/>
          <w:b/>
          <w:i w:val="0"/>
          <w:color w:val="3D1D08"/>
          <w:sz w:val="18"/>
        </w:rPr>
        <w:t xml:space="preserve">Press release Acme Cloud 2026 (fictif) — </w:t>
      </w:r>
      <w:r>
        <w:rPr>
          <w:rFonts w:ascii="Calibri" w:hAnsi="Calibri"/>
          <w:b w:val="0"/>
          <w:i w:val="0"/>
          <w:color w:val="BC997A"/>
          <w:sz w:val="18"/>
        </w:rPr>
        <w:t xml:space="preserve"> (2026) — primary — fiabilité 4/5</w:t>
      </w:r>
    </w:p>
    <w:p>
      <w:pPr>
        <w:ind w:left="283"/>
      </w:pPr>
      <w:r>
        <w:rPr>
          <w:rFonts w:ascii="Calibri" w:hAnsi="Calibri"/>
          <w:b w:val="0"/>
          <w:i/>
          <w:color w:val="0E5876"/>
          <w:sz w:val="16"/>
        </w:rPr>
        <w:t>https://example.com/acme-press</w:t>
      </w:r>
    </w:p>
    <w:p>
      <w:r>
        <w:rPr>
          <w:rFonts w:ascii="Georgia" w:hAnsi="Georgia"/>
          <w:b/>
          <w:i w:val="0"/>
          <w:color w:val="3D1D08"/>
          <w:sz w:val="28"/>
        </w:rPr>
        <w:t>Nova Industries (fictif)</w:t>
      </w:r>
    </w:p>
    <w:p>
      <w:r>
        <w:rPr>
          <w:rFonts w:ascii="Calibri" w:hAnsi="Calibri"/>
          <w:b/>
          <w:i w:val="0"/>
          <w:color w:val="CA3F31"/>
          <w:sz w:val="18"/>
        </w:rPr>
        <w:t xml:space="preserve">[nova-1] </w:t>
      </w:r>
      <w:r>
        <w:rPr>
          <w:rFonts w:ascii="Calibri" w:hAnsi="Calibri"/>
          <w:b/>
          <w:i w:val="0"/>
          <w:color w:val="3D1D08"/>
          <w:sz w:val="18"/>
        </w:rPr>
        <w:t xml:space="preserve">Nova Industries corporate (fictif) — </w:t>
      </w:r>
      <w:r>
        <w:rPr>
          <w:rFonts w:ascii="Calibri" w:hAnsi="Calibri"/>
          <w:b w:val="0"/>
          <w:i w:val="0"/>
          <w:color w:val="BC997A"/>
          <w:sz w:val="18"/>
        </w:rPr>
        <w:t xml:space="preserve"> (2026) — primary — fiabilité 4/5</w:t>
      </w:r>
    </w:p>
    <w:p>
      <w:pPr>
        <w:ind w:left="283"/>
      </w:pPr>
      <w:r>
        <w:rPr>
          <w:rFonts w:ascii="Calibri" w:hAnsi="Calibri"/>
          <w:b w:val="0"/>
          <w:i/>
          <w:color w:val="0E5876"/>
          <w:sz w:val="16"/>
        </w:rPr>
        <w:t>https://example.com/nova</w:t>
      </w:r>
    </w:p>
    <w:p>
      <w:r>
        <w:rPr>
          <w:rFonts w:ascii="Georgia" w:hAnsi="Georgia"/>
          <w:b/>
          <w:i w:val="0"/>
          <w:color w:val="3D1D08"/>
          <w:sz w:val="28"/>
        </w:rPr>
        <w:t>Demo Hybrid Systems (fictif)</w:t>
      </w:r>
    </w:p>
    <w:p>
      <w:r>
        <w:rPr>
          <w:rFonts w:ascii="Calibri" w:hAnsi="Calibri"/>
          <w:b/>
          <w:i w:val="0"/>
          <w:color w:val="CA3F31"/>
          <w:sz w:val="18"/>
        </w:rPr>
        <w:t xml:space="preserve">[hybrid-1] </w:t>
      </w:r>
      <w:r>
        <w:rPr>
          <w:rFonts w:ascii="Calibri" w:hAnsi="Calibri"/>
          <w:b/>
          <w:i w:val="0"/>
          <w:color w:val="3D1D08"/>
          <w:sz w:val="18"/>
        </w:rPr>
        <w:t xml:space="preserve">Demo Hybrid Systems corporate (fictif) — </w:t>
      </w:r>
      <w:r>
        <w:rPr>
          <w:rFonts w:ascii="Calibri" w:hAnsi="Calibri"/>
          <w:b w:val="0"/>
          <w:i w:val="0"/>
          <w:color w:val="BC997A"/>
          <w:sz w:val="18"/>
        </w:rPr>
        <w:t xml:space="preserve"> (2026) — primary — fiabilité 4/5</w:t>
      </w:r>
    </w:p>
    <w:p>
      <w:pPr>
        <w:ind w:left="283"/>
      </w:pPr>
      <w:r>
        <w:rPr>
          <w:rFonts w:ascii="Calibri" w:hAnsi="Calibri"/>
          <w:b w:val="0"/>
          <w:i/>
          <w:color w:val="0E5876"/>
          <w:sz w:val="16"/>
        </w:rPr>
        <w:t>https://example.com/demo-hybrid</w:t>
      </w:r>
    </w:p>
    <w:p>
      <w:r>
        <w:rPr>
          <w:rFonts w:ascii="Georgia" w:hAnsi="Georgia"/>
          <w:b/>
          <w:i w:val="0"/>
          <w:color w:val="3D1D08"/>
          <w:sz w:val="28"/>
        </w:rPr>
        <w:t>Sample Legacy Corp (fictif)</w:t>
      </w:r>
    </w:p>
    <w:p>
      <w:r>
        <w:rPr>
          <w:rFonts w:ascii="Calibri" w:hAnsi="Calibri"/>
          <w:b/>
          <w:i w:val="0"/>
          <w:color w:val="CA3F31"/>
          <w:sz w:val="18"/>
        </w:rPr>
        <w:t xml:space="preserve">[legacy-1] </w:t>
      </w:r>
      <w:r>
        <w:rPr>
          <w:rFonts w:ascii="Calibri" w:hAnsi="Calibri"/>
          <w:b/>
          <w:i w:val="0"/>
          <w:color w:val="3D1D08"/>
          <w:sz w:val="18"/>
        </w:rPr>
        <w:t xml:space="preserve">Sample Legacy Corp annual report (fictif) — </w:t>
      </w:r>
      <w:r>
        <w:rPr>
          <w:rFonts w:ascii="Calibri" w:hAnsi="Calibri"/>
          <w:b w:val="0"/>
          <w:i w:val="0"/>
          <w:color w:val="BC997A"/>
          <w:sz w:val="18"/>
        </w:rPr>
        <w:t xml:space="preserve"> (2026) — primary — fiabilité 4/5</w:t>
      </w:r>
    </w:p>
    <w:p>
      <w:pPr>
        <w:ind w:left="283"/>
      </w:pPr>
      <w:r>
        <w:rPr>
          <w:rFonts w:ascii="Calibri" w:hAnsi="Calibri"/>
          <w:b w:val="0"/>
          <w:i/>
          <w:color w:val="0E5876"/>
          <w:sz w:val="16"/>
        </w:rPr>
        <w:t>https://example.com/sample-legacy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BC997A"/>
        <w:sz w:val="18"/>
      </w:rPr>
      <w:t>ascend partners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