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rPr>
          <w:b/>
        </w:rPr>
        <w:t>Northbridge Advisors Q3 Investor Letter</w:t>
      </w:r>
    </w:p>
    <w:p>
      <w:r>
        <w:t>Our best-in-class team delivered a 22% IRR and will double your money by 2028. Invest now, limited allocation.</w:t>
      </w:r>
    </w:p>
    <w:p>
      <w:r>
        <w:t>Securities offered through Finalis Securities LLC Member FINRA/SIPC. Northbridge Advisors and Finalis Securities LLC are separate, unaffiliated entities.</w:t>
      </w:r>
    </w:p>
  </w:body>
</w:document>
</file>