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left"/>
        <w:rPr>
          <w:rFonts w:ascii="Arial" w:cs="Arial" w:hAnsi="Arial"/>
          <w:sz w:val="24"/>
          <w:szCs w:val="24"/>
          <w:lang w:val="fr-FR" w:bidi="fr-FR" w:eastAsia="fr-FR"/>
        </w:rPr>
      </w:pPr>
      <w:r>
        <w:rPr>
          <w:rFonts w:ascii="Arial" w:cs="Arial" w:hAnsi="Arial"/>
          <w:sz w:val="24"/>
          <w:szCs w:val="24"/>
          <w:lang w:val="fr-FR" w:bidi="fr-FR" w:eastAsia="fr-FR"/>
        </w:rPr>
        <w:t>BERTOUT Baptiste</w:t>
        <w:tab/>
        <w:tab/>
        <w:tab/>
        <w:tab/>
        <w:tab/>
        <w:tab/>
        <w:tab/>
        <w:tab/>
        <w:tab/>
        <w:t>groupe F</w:t>
      </w:r>
    </w:p>
    <w:p>
      <w:pPr>
        <w:rPr>
          <w:rFonts w:ascii="Arial" w:cs="Arial" w:hAnsi="Arial"/>
          <w:sz w:val="24"/>
          <w:szCs w:val="24"/>
          <w:lang w:val="fr-FR" w:bidi="fr-FR" w:eastAsia="fr-FR"/>
        </w:rPr>
      </w:pPr>
      <w:r>
        <w:rPr>
          <w:rFonts w:ascii="Arial" w:cs="Arial" w:hAnsi="Arial"/>
          <w:sz w:val="24"/>
          <w:szCs w:val="24"/>
          <w:lang w:val="fr-FR" w:bidi="fr-FR" w:eastAsia="fr-FR"/>
        </w:rPr>
        <w:t>DESMONS Hugo</w:t>
      </w:r>
    </w:p>
    <w:p>
      <w:pPr>
        <w:rPr>
          <w:rFonts w:ascii="Arial" w:cs="Arial" w:hAnsi="Arial"/>
          <w:sz w:val="24"/>
          <w:szCs w:val="24"/>
          <w:lang w:val="fr-FR" w:bidi="fr-FR" w:eastAsia="fr-FR"/>
        </w:rPr>
      </w:pPr>
      <w:r>
        <w:rPr>
          <w:rFonts w:ascii="Arial" w:cs="Arial" w:hAnsi="Arial"/>
          <w:sz w:val="24"/>
          <w:szCs w:val="24"/>
          <w:lang w:val="fr-FR" w:bidi="fr-FR" w:eastAsia="fr-FR"/>
        </w:rPr>
        <w:t>DORMAEL Louis</w:t>
      </w:r>
    </w:p>
    <w:p>
      <w:pPr>
        <w:rPr>
          <w:rFonts w:ascii="Arial" w:cs="Arial" w:hAnsi="Arial"/>
          <w:sz w:val="24"/>
          <w:szCs w:val="24"/>
          <w:lang w:val="fr-FR" w:bidi="fr-FR" w:eastAsia="fr-FR"/>
        </w:rPr>
      </w:pPr>
    </w:p>
    <w:p>
      <w:pPr>
        <w:jc w:val="center"/>
        <w:rPr>
          <w:rFonts w:ascii="Arial" w:cs="Arial" w:hAnsi="Arial"/>
          <w:sz w:val="24"/>
          <w:szCs w:val="24"/>
          <w:lang w:val="fr-FR" w:bidi="fr-FR" w:eastAsia="fr-FR"/>
        </w:rPr>
      </w:pPr>
      <w:r>
        <w:rPr>
          <w:rFonts w:ascii="Arial" w:cs="Arial" w:hAnsi="Arial"/>
          <w:sz w:val="24"/>
          <w:szCs w:val="24"/>
          <w:lang w:val="fr-FR" w:bidi="fr-FR" w:eastAsia="fr-FR"/>
        </w:rPr>
        <w:t xml:space="preserve">APPLE </w:t>
      </w:r>
    </w:p>
    <w:p>
      <w:pPr>
        <w:jc w:val="center"/>
        <w:rPr>
          <w:rFonts w:ascii="Arial" w:cs="Arial" w:hAnsi="Arial"/>
          <w:sz w:val="24"/>
          <w:szCs w:val="24"/>
          <w:lang w:val="fr-FR" w:bidi="fr-FR" w:eastAsia="fr-FR"/>
        </w:rPr>
      </w:pPr>
      <w:r>
        <w:rPr>
          <w:rFonts w:ascii="Arial" w:cs="Arial" w:hAnsi="Arial"/>
          <w:sz w:val="24"/>
          <w:szCs w:val="24"/>
          <w:lang w:val="fr-FR" w:bidi="fr-FR" w:eastAsia="fr-FR"/>
        </w:rPr>
        <w:drawing xmlns:mc="http://schemas.openxmlformats.org/markup-compatibility/2006">
          <wp:inline distT="0" distB="0" distL="0" distR="0">
            <wp:extent cx="1047115" cy="10471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cs="Arial" w:hAnsi="Arial"/>
          <w:sz w:val="24"/>
          <w:szCs w:val="24"/>
          <w:lang w:val="fr-FR" w:bidi="fr-FR" w:eastAsia="fr-FR"/>
        </w:rPr>
      </w:pPr>
    </w:p>
    <w:tbl>
      <w:tblPr>
        <w:tblStyle w:val="TableGrid"/>
        <w:tblInd w:w="0" w:type="dxa"/>
      </w:tblPr>
      <w:tblGrid>
        <w:gridCol w:w="2365"/>
        <w:gridCol w:w="6877"/>
      </w:tblGrid>
      <w:tr>
        <w:trPr>
          <w:cnfStyle w:val="100000000000"/>
          <w:trHeight w:val="252" w:hRule="atLeast"/>
        </w:trPr>
        <w:tc>
          <w:tcPr>
            <w:cnfStyle w:val="100010000000"/>
            <w:tcW w:w="9242" w:type="dxa"/>
            <w:gridSpan w:val="2"/>
            <w:shd w:val="clear" w:color="auto" w:fill="bfbfbf" w:themeFill="lt1" w:themeFillShade="bf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Critères généraux 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Taille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154 000 employés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Activité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Secteur quaternaire, activité dans le numérique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Champ d’action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international 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Finalité(s) (ce pourquoi l’entreprise existe)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ind w:right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Demarche RSE :</w:t>
            </w:r>
          </w:p>
          <w:p>
            <w:pPr>
              <w:numPr>
                <w:ilvl w:val="0"/>
                <w:numId w:val="20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Neutres en carbone</w:t>
            </w:r>
          </w:p>
          <w:p>
            <w:pPr>
              <w:numPr>
                <w:ilvl w:val="0"/>
                <w:numId w:val="20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Réduction de la consomation energetique</w:t>
            </w:r>
          </w:p>
          <w:p>
            <w:pPr>
              <w:numPr>
                <w:ilvl w:val="0"/>
                <w:numId w:val="20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Recyclage de métaux rares</w:t>
            </w:r>
          </w:p>
          <w:p>
            <w:pPr>
              <w:numPr>
                <w:ilvl w:val="0"/>
                <w:numId w:val="20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Utilisation de plastique recyclé</w:t>
            </w:r>
          </w:p>
          <w:p>
            <w:pPr>
              <w:numPr>
                <w:ilvl w:val="0"/>
                <w:numId w:val="20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Lutte contre le rechauffement climatique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Mission(s)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Économique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Objectifs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Quantitatif et qualitatif avec la volonté de lutter pour l’environnement</w:t>
            </w:r>
          </w:p>
        </w:tc>
      </w:tr>
      <w:tr>
        <w:trPr>
          <w:cnfStyle w:val="000000000000"/>
        </w:trPr>
        <w:tc>
          <w:tcPr>
            <w:cnfStyle w:val="000010000000"/>
            <w:tcW w:w="9242" w:type="dxa"/>
            <w:gridSpan w:val="2"/>
            <w:shd w:val="clear" w:color="auto" w:fill="bfbfbf" w:themeFill="lt1" w:themeFillShade="bf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Caractéristiques de l’environnement (stable ? complexe ?) 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Micro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 xml:space="preserve">Actionnaires: </w:t>
            </w: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ab/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The Vanguard Group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BlackRock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 xml:space="preserve">Berkshire Hathaway 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Government Pension Fund-Global</w:t>
            </w:r>
          </w:p>
          <w:p>
            <w:pPr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</w:p>
          <w:p>
            <w:pPr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 xml:space="preserve">Concurrents : 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Samsung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Xiaomi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Oppo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Etc...</w:t>
            </w:r>
          </w:p>
          <w:p>
            <w:pPr>
              <w:ind w:right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</w:p>
          <w:p>
            <w:pPr>
              <w:ind w:right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 xml:space="preserve">Fournisseurs: </w:t>
            </w:r>
          </w:p>
          <w:p>
            <w:pPr>
              <w:framePr w:w="0" w:h="0" w:vAnchor="margin" w:hAnchor="text" w:x="0" w:y="0"/>
              <w:numPr>
                <w:ilvl w:val="0"/>
                <w:numId w:val="15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tabs>
                <w:tab w:val="left" w:pos="375"/>
              </w:tabs>
              <w:bidi w:val="off"/>
              <w:spacing w:before="0" w:after="0" w:line="240" w:lineRule="auto"/>
              <w:jc w:val="left"/>
              <w:rPr>
                <w:rFonts w:ascii="Arial" w:cs="Arial" w:hAnsi="Arial"/>
                <w:color w:val="000000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>Société Focusun (assemblage d'appareils) avec 34 usines.</w:t>
            </w:r>
          </w:p>
          <w:p>
            <w:pPr>
              <w:framePr w:w="0" w:h="0" w:vAnchor="margin" w:hAnchor="text" w:x="0" w:y="0"/>
              <w:numPr>
                <w:ilvl w:val="0"/>
                <w:numId w:val="16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tabs>
                <w:tab w:val="left" w:pos="375"/>
              </w:tabs>
              <w:bidi w:val="off"/>
              <w:spacing w:before="0" w:after="0" w:line="240" w:lineRule="auto"/>
              <w:jc w:val="left"/>
              <w:rPr>
                <w:rFonts w:ascii="Arial" w:cs="Arial" w:hAnsi="Arial"/>
                <w:color w:val="000000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>Texas Instruments Inc (semi-conducteurs) avec 20 fabricants.</w:t>
            </w:r>
          </w:p>
          <w:p>
            <w:pPr>
              <w:framePr w:w="0" w:h="0" w:vAnchor="margin" w:hAnchor="text" w:x="0" w:y="0"/>
              <w:numPr>
                <w:ilvl w:val="0"/>
                <w:numId w:val="17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tabs>
                <w:tab w:val="left" w:pos="375"/>
              </w:tabs>
              <w:bidi w:val="off"/>
              <w:spacing w:before="0" w:after="0" w:line="240" w:lineRule="auto"/>
              <w:jc w:val="left"/>
              <w:rPr>
                <w:rFonts w:ascii="Arial" w:cs="Arial" w:hAnsi="Arial"/>
                <w:color w:val="000000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>La société japonaise bien établie TDK (électronique et enregistreurs) avec 20 usines.</w:t>
            </w:r>
          </w:p>
          <w:p>
            <w:pPr>
              <w:framePr w:w="0" w:h="0" w:vAnchor="margin" w:hAnchor="text" w:x="0" w:y="0"/>
              <w:numPr>
                <w:ilvl w:val="0"/>
                <w:numId w:val="18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tabs>
                <w:tab w:val="left" w:pos="375"/>
              </w:tabs>
              <w:bidi w:val="off"/>
              <w:spacing w:before="0" w:after="0" w:line="240" w:lineRule="auto"/>
              <w:ind w:left="375" w:right="0" w:hanging="360"/>
              <w:jc w:val="left"/>
              <w:rPr>
                <w:rFonts w:ascii="Arial" w:cs="Arial" w:hAnsi="Arial"/>
                <w:color w:val="000000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>Société Vishay (semi-conducteurs) avec 19 usines.</w:t>
            </w:r>
          </w:p>
          <w:p>
            <w:pPr>
              <w:framePr w:w="0" w:h="0" w:vAnchor="margin" w:hAnchor="text" w:x="0" w:y="0"/>
              <w:numPr>
                <w:ilvl w:val="0"/>
                <w:numId w:val="19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tabs>
                <w:tab w:val="left" w:pos="375"/>
              </w:tabs>
              <w:bidi w:val="off"/>
              <w:spacing w:before="0" w:after="0" w:line="240" w:lineRule="auto"/>
              <w:jc w:val="left"/>
              <w:rPr>
                <w:rFonts w:ascii="Arial" w:cs="Arial" w:hAnsi="Arial"/>
                <w:color w:val="000000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>TSMC (processeur iPhone) avec 7 usines.</w:t>
            </w:r>
          </w:p>
          <w:p>
            <w:p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Macro</w:t>
            </w:r>
          </w:p>
        </w:tc>
        <w:tc>
          <w:tcPr>
            <w:cnfStyle w:val="000001000000"/>
            <w:tcW w:w="6877" w:type="dxa"/>
            <w:gridSpan w:val="1"/>
          </w:tcPr>
          <w:tbl>
            <w:tblPr>
              <w:tblStyle w:val="TableGrid"/>
              <w:tblInd w:w="0" w:type="dxa"/>
              <w:tblLayout w:type="auto"/>
            </w:tblPr>
            <w:tblGrid>
              <w:gridCol w:w="3008"/>
              <w:gridCol w:w="3008"/>
              <w:gridCol w:w="3008"/>
            </w:tblGrid>
            <w:tr>
              <w:trPr>
                <w:cnfStyle w:val="100000000000"/>
              </w:trPr>
              <w:tc>
                <w:tcPr>
                  <w:cnfStyle w:val="100010000000"/>
                  <w:tcW w:w="3330" w:type="dxa"/>
                  <w:gridSpan w:val="1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Environnement</w:t>
                  </w:r>
                </w:p>
              </w:tc>
              <w:tc>
                <w:tcPr>
                  <w:cnfStyle w:val="100001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Opportunités</w:t>
                  </w:r>
                </w:p>
              </w:tc>
              <w:tc>
                <w:tcPr>
                  <w:cnfStyle w:val="100010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Menaces</w:t>
                  </w:r>
                </w:p>
              </w:tc>
            </w:tr>
            <w:tr>
              <w:trPr>
                <w:cnfStyle w:val="000000000000"/>
              </w:trPr>
              <w:tc>
                <w:tcPr>
                  <w:cnfStyle w:val="000010000000"/>
                  <w:tcW w:w="3330" w:type="dxa"/>
                  <w:gridSpan w:val="1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Politique</w:t>
                  </w:r>
                </w:p>
              </w:tc>
              <w:tc>
                <w:tcPr>
                  <w:cnfStyle w:val="000001000000"/>
                  <w:tcW w:w="3330" w:type="dxa"/>
                </w:tcPr>
                <w:p>
                  <w:pPr>
                    <w:ind w:right="0"/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*stabilité politique</w:t>
                  </w:r>
                </w:p>
                <w:p>
                  <w:pPr>
                    <w:ind w:right="0"/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*qualité des relations politique</w:t>
                  </w:r>
                </w:p>
              </w:tc>
              <w:tc>
                <w:tcPr>
                  <w:cnfStyle w:val="000010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*tensions politique (chine/USA</w:t>
                  </w:r>
                </w:p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*impact negatif de la guerre en Ukraine</w:t>
                  </w:r>
                </w:p>
              </w:tc>
            </w:tr>
            <w:tr>
              <w:trPr>
                <w:cnfStyle w:val="000000000000"/>
              </w:trPr>
              <w:tc>
                <w:tcPr>
                  <w:cnfStyle w:val="000010000000"/>
                  <w:tcW w:w="3330" w:type="dxa"/>
                  <w:gridSpan w:val="1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economique</w:t>
                  </w:r>
                </w:p>
              </w:tc>
              <w:tc>
                <w:tcPr>
                  <w:cnfStyle w:val="000001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*potentiel de croissance important</w:t>
                  </w:r>
                </w:p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*amélioration constante du pouvoir d’achat des consommateurs</w:t>
                  </w:r>
                </w:p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 opportunité majeur de croissance grâce au télétravail</w:t>
                  </w:r>
                </w:p>
              </w:tc>
              <w:tc>
                <w:tcPr>
                  <w:cnfStyle w:val="000010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Crise économique mondiale a cause du covid 19</w:t>
                  </w:r>
                </w:p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*intensité concurrentielle de + en + élevée</w:t>
                  </w:r>
                </w:p>
              </w:tc>
            </w:tr>
            <w:tr>
              <w:trPr>
                <w:cnfStyle w:val="000000000000"/>
              </w:trPr>
              <w:tc>
                <w:tcPr>
                  <w:cnfStyle w:val="000010000000"/>
                  <w:tcW w:w="3330" w:type="dxa"/>
                  <w:gridSpan w:val="1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sociologie</w:t>
                  </w:r>
                </w:p>
              </w:tc>
              <w:tc>
                <w:tcPr>
                  <w:cnfStyle w:val="000001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*uniformisation des habitudes de consommation du consommateur</w:t>
                  </w:r>
                </w:p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*désir constant des consommateurs</w:t>
                  </w:r>
                </w:p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*génération Z ou digital native ultra connectée = potentiel de croissance</w:t>
                  </w:r>
                </w:p>
              </w:tc>
              <w:tc>
                <w:tcPr>
                  <w:cnfStyle w:val="000010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*génération Z très exigeante et zappeuse; cherche constamment des nouvelles inovations et expériences</w:t>
                  </w:r>
                </w:p>
              </w:tc>
            </w:tr>
            <w:tr>
              <w:trPr>
                <w:cnfStyle w:val="000000000000"/>
              </w:trPr>
              <w:tc>
                <w:tcPr>
                  <w:cnfStyle w:val="000010000000"/>
                  <w:tcW w:w="3330" w:type="dxa"/>
                  <w:gridSpan w:val="1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technologie</w:t>
                  </w:r>
                </w:p>
              </w:tc>
              <w:tc>
                <w:tcPr>
                  <w:cnfStyle w:val="000001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*accélération technologique</w:t>
                  </w:r>
                </w:p>
              </w:tc>
              <w:tc>
                <w:tcPr>
                  <w:cnfStyle w:val="000010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*innovations technologiques rapide = menace si l’entrprise apple passe a coté d’innovations majeures</w:t>
                  </w:r>
                </w:p>
              </w:tc>
            </w:tr>
            <w:tr>
              <w:trPr>
                <w:cnfStyle w:val="000000000000"/>
              </w:trPr>
              <w:tc>
                <w:tcPr>
                  <w:cnfStyle w:val="000010000000"/>
                  <w:tcW w:w="3330" w:type="dxa"/>
                  <w:gridSpan w:val="1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ecologie</w:t>
                  </w:r>
                </w:p>
              </w:tc>
              <w:tc>
                <w:tcPr>
                  <w:cnfStyle w:val="000001000000"/>
                  <w:tcW w:w="3330" w:type="dxa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rien</w:t>
                  </w:r>
                </w:p>
              </w:tc>
              <w:tc>
                <w:tcPr>
                  <w:cnfStyle w:val="000010000000"/>
                  <w:tcW w:w="3330" w:type="dxa"/>
                </w:tcPr>
                <w:p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18"/>
                      <w:lang w:val="en-US"/>
                    </w:rPr>
                  </w:pPr>
                  <w:r>
                    <w:rPr>
                      <w:rFonts w:ascii="telex"/>
                      <w:color w:val="000000"/>
                      <w:sz w:val="24"/>
                      <w:rtl w:val="off"/>
                      <w:lang w:val="en-US"/>
                    </w:rPr>
                    <w:t>*Obligation de respect des dispositions légales et les règlements</w:t>
                  </w:r>
                  <w:r>
                    <w:rPr>
                      <w:rFonts w:ascii="Segoe UI"/>
                      <w:color w:val="000000"/>
                      <w:sz w:val="18"/>
                      <w:rtl w:val="off"/>
                      <w:lang w:val="en-US"/>
                    </w:rPr>
                    <w:t xml:space="preserve"> </w:t>
                  </w:r>
                </w:p>
                <w:p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18"/>
                      <w:lang w:val="en-US"/>
                    </w:rPr>
                  </w:pPr>
                  <w:r>
                    <w:rPr>
                      <w:rFonts w:ascii="telex"/>
                      <w:color w:val="000000"/>
                      <w:sz w:val="24"/>
                      <w:rtl w:val="off"/>
                      <w:lang w:val="en-US"/>
                    </w:rPr>
                    <w:t>*Pression menée par les associations et les mouvements de protection de l’environnement et les droits de l’Homme;</w:t>
                  </w:r>
                  <w:r>
                    <w:rPr>
                      <w:rFonts w:ascii="Segoe UI"/>
                      <w:color w:val="000000"/>
                      <w:sz w:val="18"/>
                      <w:rtl w:val="off"/>
                      <w:lang w:val="en-US"/>
                    </w:rPr>
                    <w:t xml:space="preserve"> </w:t>
                  </w:r>
                </w:p>
                <w:p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18"/>
                      <w:lang w:val="en-US"/>
                    </w:rPr>
                  </w:pPr>
                  <w:r>
                    <w:rPr>
                      <w:rFonts w:ascii="telex"/>
                      <w:color w:val="000000"/>
                      <w:sz w:val="24"/>
                      <w:rtl w:val="off"/>
                      <w:lang w:val="en-US"/>
                    </w:rPr>
                    <w:t>*Menace de pénurie des matières premières dans les années à venir</w:t>
                  </w:r>
                  <w:r>
                    <w:rPr>
                      <w:rFonts w:ascii="Segoe UI"/>
                      <w:color w:val="000000"/>
                      <w:sz w:val="18"/>
                      <w:rtl w:val="off"/>
                      <w:lang w:val="en-US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</w:p>
              </w:tc>
            </w:tr>
            <w:tr>
              <w:trPr>
                <w:cnfStyle w:val="000000000000"/>
              </w:trPr>
              <w:tc>
                <w:tcPr>
                  <w:cnfStyle w:val="000010000000"/>
                  <w:tcW w:w="3330" w:type="dxa"/>
                  <w:gridSpan w:val="1"/>
                </w:tcPr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Légal</w:t>
                  </w:r>
                </w:p>
              </w:tc>
              <w:tc>
                <w:tcPr>
                  <w:cnfStyle w:val="000001000000"/>
                  <w:tcW w:w="3330" w:type="dxa"/>
                </w:tcPr>
                <w:p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18"/>
                      <w:lang w:val="en-US"/>
                    </w:rPr>
                  </w:pPr>
                  <w:r>
                    <w:rPr>
                      <w:rFonts w:ascii="telex"/>
                      <w:color w:val="000000"/>
                      <w:sz w:val="24"/>
                      <w:rtl w:val="off"/>
                      <w:lang w:val="en-US"/>
                    </w:rPr>
                    <w:t>*Respect strict des lois</w:t>
                  </w:r>
                  <w:r>
                    <w:rPr>
                      <w:rFonts w:ascii="Segoe UI"/>
                      <w:color w:val="000000"/>
                      <w:sz w:val="18"/>
                      <w:rtl w:val="off"/>
                      <w:lang w:val="en-US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</w:p>
              </w:tc>
              <w:tc>
                <w:tcPr>
                  <w:cnfStyle w:val="000010000000"/>
                  <w:tcW w:w="3330" w:type="dxa"/>
                </w:tcPr>
                <w:p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18"/>
                      <w:lang w:val="en-US"/>
                    </w:rPr>
                  </w:pPr>
                  <w:r>
                    <w:rPr>
                      <w:rFonts w:ascii="telex"/>
                      <w:color w:val="000000"/>
                      <w:sz w:val="24"/>
                      <w:rtl w:val="off"/>
                      <w:lang w:val="en-US"/>
                    </w:rPr>
                    <w:t>*effets néfastes de la contrefaçon</w:t>
                  </w:r>
                  <w:r>
                    <w:rPr>
                      <w:rFonts w:ascii="Segoe UI"/>
                      <w:color w:val="000000"/>
                      <w:sz w:val="18"/>
                      <w:rtl w:val="off"/>
                      <w:lang w:val="en-US"/>
                    </w:rPr>
                    <w:t xml:space="preserve"> </w:t>
                  </w:r>
                </w:p>
                <w:p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18"/>
                      <w:lang w:val="en-US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</w:t>
                  </w:r>
                  <w:r>
                    <w:rPr>
                      <w:rFonts w:ascii="telex"/>
                      <w:color w:val="000000"/>
                      <w:sz w:val="24"/>
                      <w:rtl w:val="off"/>
                      <w:lang w:val="en-US"/>
                    </w:rPr>
                    <w:t>augmentation des recours judiciaires collectifs</w:t>
                  </w:r>
                  <w:r>
                    <w:rPr>
                      <w:rFonts w:ascii="Segoe UI"/>
                      <w:color w:val="000000"/>
                      <w:sz w:val="18"/>
                      <w:rtl w:val="off"/>
                      <w:lang w:val="en-US"/>
                    </w:rPr>
                    <w:t xml:space="preserve"> </w:t>
                  </w:r>
                </w:p>
                <w:p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18"/>
                      <w:lang w:val="en-US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  <w:t>*</w:t>
                  </w:r>
                  <w:r>
                    <w:rPr>
                      <w:rFonts w:ascii="telex"/>
                      <w:color w:val="000000"/>
                      <w:sz w:val="24"/>
                      <w:rtl w:val="off"/>
                      <w:lang w:val="en-US"/>
                    </w:rPr>
                    <w:t>Nouvelles lois relatives à la protection des données et informations des consommation</w:t>
                  </w:r>
                  <w:r>
                    <w:rPr>
                      <w:rFonts w:ascii="Segoe UI"/>
                      <w:color w:val="000000"/>
                      <w:sz w:val="18"/>
                      <w:rtl w:val="off"/>
                      <w:lang w:val="en-US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Arial" w:cs="Arial" w:hAnsi="Arial"/>
                      <w:sz w:val="24"/>
                      <w:szCs w:val="24"/>
                      <w:lang w:val="fr-FR" w:bidi="fr-FR" w:eastAsia="fr-FR"/>
                    </w:rPr>
                  </w:pPr>
                </w:p>
              </w:tc>
            </w:tr>
          </w:tbl>
          <w:p>
            <w:pPr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9242" w:type="dxa"/>
            <w:gridSpan w:val="2"/>
            <w:shd w:val="clear" w:color="auto" w:fill="bfbfbf" w:themeFill="lt1" w:themeFillShade="bf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>Ressources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Matérielles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 xml:space="preserve">512 magasins dans le monde, 2541 brevets en 2021, 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Humaines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154 000 employé, 69% d’homme et 31% de femme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Financières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Chiffre d’affaire d’environ 366 milliard de dollar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>Capital social de Apple France de 3.049 million d”euro</w:t>
            </w:r>
          </w:p>
        </w:tc>
      </w:tr>
      <w:tr>
        <w:trPr>
          <w:cnfStyle w:val="000000000000"/>
        </w:trPr>
        <w:tc>
          <w:tcPr>
            <w:cnfStyle w:val="000010000000"/>
            <w:tcW w:w="9242" w:type="dxa"/>
            <w:gridSpan w:val="2"/>
            <w:shd w:val="clear" w:color="auto" w:fill="bfbfbf" w:themeFill="lt1" w:themeFillShade="bf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>Direction et décision</w:t>
            </w:r>
          </w:p>
        </w:tc>
      </w:tr>
      <w:tr>
        <w:trPr>
          <w:cnfStyle w:val="000000000000"/>
        </w:trPr>
        <w:tc>
          <w:tcPr>
            <w:cnfStyle w:val="000010000000"/>
            <w:tcW w:w="2365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Qui dirige ? </w:t>
            </w:r>
          </w:p>
        </w:tc>
        <w:tc>
          <w:tcPr>
            <w:cnfStyle w:val="000001000000"/>
            <w:tcW w:w="6877" w:type="dxa"/>
            <w:gridSpan w:val="1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Arial" w:cs="Arial" w:hAnsi="Arial"/>
                <w:sz w:val="24"/>
                <w:szCs w:val="24"/>
                <w:lang w:val="fr-FR" w:bidi="fr-FR" w:eastAsia="fr-FR"/>
              </w:rPr>
            </w:pPr>
            <w:r>
              <w:rPr>
                <w:rFonts w:ascii="Arial" w:cs="Arial" w:hAnsi="Arial"/>
                <w:sz w:val="24"/>
                <w:szCs w:val="24"/>
                <w:lang w:val="fr-FR" w:bidi="fr-FR" w:eastAsia="fr-FR"/>
              </w:rPr>
              <w:t xml:space="preserve">Direction collégiale </w:t>
            </w:r>
          </w:p>
        </w:tc>
      </w:tr>
    </w:tbl>
    <w:p>
      <w:pPr>
        <w:jc w:val="left"/>
        <w:rPr>
          <w:rFonts w:ascii="Arial" w:cs="Arial" w:hAnsi="Arial"/>
          <w:sz w:val="24"/>
          <w:szCs w:val="24"/>
          <w:lang w:val="fr-FR" w:bidi="fr-FR" w:eastAsia="fr-FR"/>
        </w:rPr>
      </w:pPr>
    </w:p>
    <w:p>
      <w:pPr>
        <w:jc w:val="left"/>
        <w:rPr>
          <w:rFonts w:ascii="Arial" w:cs="Arial" w:hAnsi="Arial"/>
          <w:sz w:val="24"/>
          <w:szCs w:val="24"/>
          <w:lang w:val="fr-FR" w:bidi="fr-FR" w:eastAsia="fr-FR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inherit">
    <w:charset w:val="00"/>
  </w:font>
  <w:font w:name="poppins">
    <w:charset w:val="00"/>
  </w:font>
  <w:font w:name="telex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095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815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535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255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975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695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415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135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855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095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815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535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255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975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695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415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135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855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6" Type="http://schemas.openxmlformats.org/officeDocument/2006/relationships/settings" Target="settings.xml"/><Relationship Id="rId7" Type="http://schemas.openxmlformats.org/officeDocument/2006/relationships/image" Target="media/image2.png"/><Relationship Id="rId5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bertout</dc:creator>
  <cp:lastModifiedBy>baptiste bertout</cp:lastModifiedBy>
</cp:coreProperties>
</file>