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Comment peut-on se faire attaquer ? par nos concurrents ? par nos investisseurs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pour les concurrents, faire traîner le plus possible les courriers d’attaque, le plus plus longtemps possibles.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pour les investisseurs, on est transparent sur le fait que l’on a pas d’agrément et on s’adapte.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