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8vj6dbp4k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ACCORD DE CONFIDENTIALITÉ (NDA)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q5xrnoi0g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Société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Dénomination sociale : {{startup_name}}</w:t>
        <w:br w:type="textWrapping"/>
        <w:t xml:space="preserve"> Forme juridique : {{forme_juridique}}</w:t>
        <w:br w:type="textWrapping"/>
        <w:t xml:space="preserve"> Numéro d'immatriculation : {{siren}}</w:t>
        <w:br w:type="textWrapping"/>
        <w:t xml:space="preserve"> Siège social : {{adresse}}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Ci-après dénommée la </w:t>
      </w:r>
      <w:r w:rsidDel="00000000" w:rsidR="00000000" w:rsidRPr="00000000">
        <w:rPr>
          <w:b w:val="1"/>
          <w:bCs w:val="1"/>
          <w:rtl w:val="0"/>
        </w:rPr>
        <w:t xml:space="preserve">« Société 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L'Investisseur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/ Dénomination sociale : {{investor_name}}</w:t>
        <w:br w:type="textWrapping"/>
        <w:t xml:space="preserve"> Adresse : {{adresse}}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Ci-après dénommé l'</w:t>
      </w:r>
      <w:r w:rsidDel="00000000" w:rsidR="00000000" w:rsidRPr="00000000">
        <w:rPr>
          <w:b w:val="1"/>
          <w:bCs w:val="1"/>
          <w:rtl w:val="0"/>
        </w:rPr>
        <w:t xml:space="preserve">« Investisseur 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et l'Investisseur étant ci-après désignés individuellement une </w:t>
      </w:r>
      <w:r w:rsidDel="00000000" w:rsidR="00000000" w:rsidRPr="00000000">
        <w:rPr>
          <w:b w:val="1"/>
          <w:bCs w:val="1"/>
          <w:rtl w:val="0"/>
        </w:rPr>
        <w:t xml:space="preserve">« Partie »</w:t>
      </w:r>
      <w:r w:rsidDel="00000000" w:rsidR="00000000" w:rsidRPr="00000000">
        <w:rPr>
          <w:rtl w:val="0"/>
        </w:rPr>
        <w:t xml:space="preserve"> et collectivement les </w:t>
      </w:r>
      <w:r w:rsidDel="00000000" w:rsidR="00000000" w:rsidRPr="00000000">
        <w:rPr>
          <w:b w:val="1"/>
          <w:bCs w:val="1"/>
          <w:rtl w:val="0"/>
        </w:rPr>
        <w:t xml:space="preserve">« Parties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p0953rvob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 – OBJET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souhaitent échanger certaines informations dans le cadre de discussions relatives à un éventuel investissement au sein de la Société.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a pour objet de définir les conditions dans lesquelles ces informations pourront être communiquées et utilisées.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vfcbpvrq3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2 – INFORMATIONS CONFIDENTIELLES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Constituent des Informations Confidentielles toutes les informations, sous quelque forme que ce soit (écrite, orale, numérique ou autre), communiquées par une Partie à l'autre, notamment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plans 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decks 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présentations investisseurs 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financières 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comptables 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prévisions financières 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relatives aux clients ou partenaires 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relatives aux produits ou services 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techniques ou technologiques 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relatives à l'actionnariat 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projets de contrats 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obtenues via la plateforme Liquid+ 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toute information identifiée comme confidentielle ou dont le caractère confidentiel est raisonnablement identifiable.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v9rryb94t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3 – OBLIGATIONS DE CONFIDENTIALITÉ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Partie s'engage à 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conserver strictement confidentielles les Informations Confidentielles reçues 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les utiliser qu'aux fins d'évaluer ou de préparer une éventuelle opération d'investissement 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les communiquer à des tiers sans l'autorisation écrite préalable de l'autre Partie 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prendre toutes mesures raisonnables pour empêcher leur divulgation non autorisée 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limiter l'accès aux Informations Confidentielles aux seules personnes ayant besoin d'en connaître dans le cadre de l'opération envisagée.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el1pc8cc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4 – EXCLUSIONS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obligations prévues au présent Accord ne s'appliquent pas aux informations 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déjà publiques au moment de leur divulgation 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devenues publiques sans violation du présent Accord 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obtenues légalement auprès d'un tiers non soumis à une obligation de confidentialité 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déjà connues de la Partie réceptrice avant leur communication 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dont la divulgation est imposée par la loi, un règlement ou une décision judiciaire ou administrative.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zevzyc1pu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5 – ABSENCE D'ENGAGEMENT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ne constitue 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 une promesse d'investissement 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une offre de souscription 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une obligation pour les Parties de conclure une quelconque opération.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Partie demeure libre de mettre fin aux discussions à tout moment.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q9qugi0sn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6 – PROPRIÉTÉ DES INFORMATIONS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Informations Confidentielles demeurent la propriété exclusive de la Partie qui les communique.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droit de propriété intellectuelle, licence ou droit d'exploitation n'est accordé du fait de leur communication.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spzn9jt60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7 – RESTITUTION OU SUPPRESSION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demande écrite de la Partie divulgatrice, la Partie réceptrice s'engage à 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restituer les documents confidentiels 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supprimer les copies numériques en sa possession,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sauf lorsque leur conservation est imposée par la loi ou nécessaire à des fins de preuve.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71n0he0sg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8 – DURÉE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entre en vigueur à compter de sa signature.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obligations de confidentialité demeureront applicables pendant une durée de 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trois (3) années après la dernière communication d'Informations Confidentielles entre les Parties.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d3i9qfwc3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9 – RESPONSABILITÉ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Partie reconnaît que toute violation du présent Accord est susceptible de causer un préjudice à l'autre Partie.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Partie victime pourra solliciter toute mesure appropriée destinée à faire cesser la violation et à obtenir réparation de son préjudice.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3rd6lu65z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10 – DROIT APPLICABLE ET JURIDICTION COMPÉTENTE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Accord est soumis au droit français.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litige relatif à son interprétation, son exécution ou sa validité sera soumis aux tribunaux compétents du ressort de la Cour d'appel de Paris, sauf disposition légale impérative contraire.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7vgk4jmrv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SIGNATURES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t2zvu7dhn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Société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du représentant : ___________________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Qualité : ___________________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: ___________________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 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tisuvh2xx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L'Investisseur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: ___________________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