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iqf84ocfc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CONTRAT DE SOUSCRIPTION D’ACTIONS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Société :</w:t>
      </w:r>
      <w:r w:rsidDel="00000000" w:rsidR="00000000" w:rsidRPr="00000000">
        <w:rPr>
          <w:rtl w:val="0"/>
        </w:rPr>
        <w:t xml:space="preserve"> {{startup_name}}, société {{forme_juridique}}, immatriculée sous le numéro {{siren}}, ayant son siège social {{adresse}}</w:t>
        <w:br w:type="textWrapping"/>
        <w:t xml:space="preserve"> ci-après la « Société 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L’Investisseur :</w:t>
      </w:r>
      <w:r w:rsidDel="00000000" w:rsidR="00000000" w:rsidRPr="00000000">
        <w:rPr>
          <w:rtl w:val="0"/>
        </w:rPr>
        <w:t xml:space="preserve"> {{investor_name}}, {{personne physique / morale}}, domicilié {{adresse}}</w:t>
        <w:br w:type="textWrapping"/>
        <w:t xml:space="preserve"> ci-après « l’Investisseur 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8mpjo96ez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 – Objet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la souscription par l’Investisseur à des actions nouvelles émises par la Société dans le cadre d’une augmentation de capital.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j06cpioy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2 – Souscription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souscrit à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d’actions : {{nb_actions}}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unitaire : {{prix_unitaire}} €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 total : {{montant_total}} 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g2wmipwls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3 – Libération des fonds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s’engage à verser intégralement le montant de la souscription sur le compte bancaire de la Société.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lf9ic2bw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4 – Émission des actions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actions seront créées et attribuées à l’Investisseur après réception effective des fonds.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v9mkvmlp3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5 – Droits attachés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actions émises confèrent les mêmes droits que les actions existantes, sauf disposition contraire des statuts ou pacte d’actionnaires.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id1vc7mbh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6 – Informations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reconnaît avoir eu accès aux informations nécessaires pour apprécier l’opération.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jnxmy4tlh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7 – Loi applicable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Droit français.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