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7a4q6j1xq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PACTE D’ACTIONNAIRES (VERSION STARTUP LIGHT)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cjnjh24hp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PACTE D’ACTIONNAIRES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les actionnaires de la Société {{startup_name}}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yryr4t4ma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 – Préemption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transfert d’actions à un tiers est soumis à un droit de préemption des autres actionnaires.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xrrz7yze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2 – Agrément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entrée d’un nouvel actionnaire peut être soumise à l’agrément des actionnaires existants selon les statuts.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ki6h5rb82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3 – Sortie conjointe (tag along)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cession d’actions par un actionnaire majoritaire, les autres actionnaires peuvent céder leurs actions aux mêmes conditions.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146egsdp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4 – Information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actionnaires disposent d’un droit d’information raisonnable sur la société.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b0tjgb0oe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5 – Durée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pacte reste en vigueur tant que les parties détiennent des actions.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13ptm1b26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6 – Confidentialité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s’engagent à ne pas divulguer les informations sensibles de la société.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