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t98vkse7o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PACTE D’ACTIONNAIRES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04buay30d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(Version VC – complète)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0ng4tujeg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 LES SOUSSIGNÉS 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g9zcdcxe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Les Actionnaires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des actionnaires initiaux et entrants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{{founders}}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{{investors}}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{{new_investors}}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(ci-après les </w:t>
      </w:r>
      <w:r w:rsidDel="00000000" w:rsidR="00000000" w:rsidRPr="00000000">
        <w:rPr>
          <w:b w:val="1"/>
          <w:bCs w:val="1"/>
          <w:rtl w:val="0"/>
        </w:rPr>
        <w:t xml:space="preserve">« Actionnaires »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tpczfwb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 Société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Dénomination : {{startup_name}}</w:t>
        <w:br w:type="textWrapping"/>
        <w:t xml:space="preserve"> Forme : SAS</w:t>
        <w:br w:type="textWrapping"/>
        <w:t xml:space="preserve"> Siège social : {{address}}</w:t>
        <w:br w:type="textWrapping"/>
        <w:t xml:space="preserve"> SIREN : {{siren}}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(ci-après la </w:t>
      </w:r>
      <w:r w:rsidDel="00000000" w:rsidR="00000000" w:rsidRPr="00000000">
        <w:rPr>
          <w:b w:val="1"/>
          <w:bCs w:val="1"/>
          <w:rtl w:val="0"/>
        </w:rPr>
        <w:t xml:space="preserve">« Société »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Actionnaires et la Société sont ci-après ensemble les </w:t>
      </w:r>
      <w:r w:rsidDel="00000000" w:rsidR="00000000" w:rsidRPr="00000000">
        <w:rPr>
          <w:b w:val="1"/>
          <w:bCs w:val="1"/>
          <w:rtl w:val="0"/>
        </w:rPr>
        <w:t xml:space="preserve">« Parties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qy29xwal5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PRÉAMBULE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souhaitent organiser leurs relations au sein de la Société, notamment en ce qui concerne 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gouvernance 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détention et la cession des titres 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conditions de sortie 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protection des investisseurs et fondateurs.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pacte complète les statuts de la Société.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5aq1ung7c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 – DÉFINITIONS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 fins du présent pacte 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: titres émis par la Société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Transfert</w:t>
      </w:r>
      <w:r w:rsidDel="00000000" w:rsidR="00000000" w:rsidRPr="00000000">
        <w:rPr>
          <w:rtl w:val="0"/>
        </w:rPr>
        <w:t xml:space="preserve"> : toute cession, donation, apport ou autre opération entraînant un changement de propriété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Majorité</w:t>
      </w:r>
      <w:r w:rsidDel="00000000" w:rsidR="00000000" w:rsidRPr="00000000">
        <w:rPr>
          <w:rtl w:val="0"/>
        </w:rPr>
        <w:t xml:space="preserve"> : plus de 50 % des droits de vote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Minoritaires</w:t>
      </w:r>
      <w:r w:rsidDel="00000000" w:rsidR="00000000" w:rsidRPr="00000000">
        <w:rPr>
          <w:rtl w:val="0"/>
        </w:rPr>
        <w:t xml:space="preserve"> : actionnaires ne détenant pas la majorité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h2y8b7381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2 – DURÉE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pacte est conclu pour une durée de 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 ans</w:t>
      </w:r>
      <w:r w:rsidDel="00000000" w:rsidR="00000000" w:rsidRPr="00000000">
        <w:rPr>
          <w:rtl w:val="0"/>
        </w:rPr>
        <w:t xml:space="preserve">, renouvelable tacitement sauf dénonciation.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enqezgy4k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3 – GOUVERNANCE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a5ue34gi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Direction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est dirigée par un Président.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{{president}}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s8xx7pmz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Décisions réservées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décisions nécessitent l’accord préalable des investisseurs représentant au moins {{threshold}} % du capital 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modification des statuts 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émission de titres 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cession d’actifs significatifs 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endettement au-delà de {{amount}} 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d’activité 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/ acquisition 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dissolution.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fxgbxwfqe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Information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investisseurs ont droit à 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trimestriel 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comptes annuels 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opérationnels.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15n93ua91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4 – TRANSFERT DES TITRES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il7rn9cis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Agrément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transfert de titres est soumis à agrément préalable de la collectivité des associés.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md98d8ap6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Droit de préemption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projet de cession, les actionnaires existants disposent d’un droit prioritaire d’acquisition des titres aux mêmes conditions.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dx42wymxd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Clause de sortie conjointe (Tag Along)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cession par un actionnaire majoritaire, les minoritaires peuvent céder leurs titres aux mêmes conditions.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hf4hchgmh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Obligation de sortie forcée (Drag Along)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d’offre d’acquisition portant sur 100 % du capital approuvée par les majoritaires, les minoritaires s’engagent à céder leurs titres aux mêmes conditions.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d2n0vquky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5 – LIQUIDITÉ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que 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titres ne sont pas cotés ;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leur liquidité est limitée ;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garantie de revente n’est donnée.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vhbb8lzko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6 – DILUTION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actionnaires reconnaissent que de futures levées de fonds peuvent entraîner une dilution de leur participation.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5148ldqy5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7 – DROIT DE PRÉFÉRENCE (OPTIONNEL VC)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investisseurs peuvent bénéficier d’un droit préférentiel de souscription lors des augmentations de capital futures.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kojprxs4o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8 – ANTI-DILUTION (OPTION VC AVANCÉE)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d’émission ultérieure à un prix inférieur 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weighted average</w:t>
        <w:br w:type="textWrapping"/>
        <w:t xml:space="preserve"> ☐ full ratchet</w:t>
        <w:br w:type="textWrapping"/>
        <w:t xml:space="preserve"> ☐ non applicable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6edydms9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9 – CLAUSE DE VESTING FONDATEURS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og2hymyd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Principe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fondateurs s’engagent à une période de vesting de {{vesting_period}} ans.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p8naj6wad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Cliff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{{cliff_period}} mois sans acquisition de titres.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fs51t2vka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Good leaver / Bad leaver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leaver : départ raisonnable → conservation partielle des actions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leaver : départ fautif → rachat des actions à prix réduit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spwmjcg2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10 – NON-CONCURRENCE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fondateurs s’engagent à ne pas exercer d’activité concurrente pendant la durée de leur présence + {{duration}} ans.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myxnqqj1x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11 – CONFIDENTIALITÉ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Obligation stricte de confidentialité sur 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technologie 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 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financières 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lj5dewhec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12 – TRANSFERT INTERDIT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transfert réalisé en violation du pacte est nul et inopposable.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3os4mkbh9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13 – LIQUIDITÉ / EXIT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envisagent les sorties suivantes 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vente industrielle ;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IPO 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rachat secondaire 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smp8uznyy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14 – INFORMATION RENFORCÉE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investisseurs ont droit à 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comptes certifiés 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annuel 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KPI 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sur levées futures.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fv7uhrrgb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15 – EXCLUSIVITÉ (OPTIONNEL)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fondateurs s’engagent à ne pas solliciter d’autres financements sans information préalable des investisseurs.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agryuyy0o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16 – SANCTIONS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violation du pacte 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exécution forcée possible ;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dommages et intérêts ;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nullité des transferts irréguliers.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v50sgkb1r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17 – ADHÉSION DES NOUVEAUX ACTIONNAIRES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nouvel investisseur adhère automatiquement au présent pacte.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sawqmt07k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18 – DROIT APPLICABLE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Droit français.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w1dv6ajmb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19 – LITIGES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Tribunaux compétents : Cour d’appel de Paris.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oy2ypmj2p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SIGNATURES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xpnjmxjup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Actionnaires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 multiples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g5s0dyl7n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ANNEXES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Annexe 1 : cap table initiale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2 : calendrier de vesting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3 : liste des décisions réservées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4 : structure de gouvernance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