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b/>
          <w:bCs/>
          <w:color w:val="1F3864"/>
          <w:sz w:val="36"/>
          <w:szCs w:val="36"/>
        </w:rPr>
        <w:t xml:space="preserve">CONTRAT D’ÉMISSION DE</w:t>
      </w:r>
    </w:p>
    <w:p>
      <w:pPr>
        <w:spacing w:after="60"/>
        <w:jc w:val="center"/>
      </w:pPr>
      <w:r>
        <w:rPr>
          <w:b/>
          <w:bCs/>
          <w:color w:val="1F3864"/>
          <w:sz w:val="36"/>
          <w:szCs w:val="36"/>
        </w:rPr>
        <w:t xml:space="preserve">BONS DE SOUSCRIPTION D’ACTIONS</w:t>
      </w:r>
    </w:p>
    <w:p>
      <w:pPr>
        <w:spacing w:after="40"/>
        <w:jc w:val="center"/>
      </w:pPr>
      <w:r>
        <w:rPr>
          <w:b/>
          <w:bCs/>
          <w:color w:val="2E4A7A"/>
          <w:sz w:val="32"/>
          <w:szCs w:val="32"/>
        </w:rPr>
        <w:t xml:space="preserve">« BSA AIR »</w:t>
      </w:r>
    </w:p>
    <w:p>
      <w:pPr>
        <w:spacing w:after="900"/>
        <w:jc w:val="center"/>
      </w:pPr>
      <w:r>
        <w:rPr>
          <w:i/>
          <w:iCs/>
          <w:color w:val="555555"/>
          <w:sz w:val="22"/>
          <w:szCs w:val="22"/>
        </w:rPr>
        <w:t xml:space="preserve">(Accord d’Investissement Rapide – instrument convertible)</w:t>
      </w:r>
    </w:p>
    <w:p>
      <w:pPr>
        <w:spacing w:after="40"/>
        <w:jc w:val="center"/>
      </w:pPr>
      <w:r>
        <w:rPr>
          <w:sz w:val="22"/>
          <w:szCs w:val="22"/>
        </w:rPr>
        <w:t xml:space="preserve">relatif à la société</w:t>
      </w:r>
    </w:p>
    <w:p>
      <w:pPr>
        <w:spacing w:after="900"/>
        <w:jc w:val="center"/>
      </w:pPr>
      <w:r>
        <w:rPr>
          <w:b/>
          <w:bCs/>
          <w:color w:val="C00000"/>
          <w:sz w:val="30"/>
          <w:szCs w:val="30"/>
        </w:rPr>
        <w:t xml:space="preserve">[DÉNOMINATION DE LA SOCIÉTÉ] – SAS</w:t>
      </w:r>
    </w:p>
    <w:p>
      <w:pPr>
        <w:jc w:val="center"/>
      </w:pPr>
      <w:r>
        <w:rPr>
          <w:b/>
          <w:bCs/>
          <w:color w:val="C00000"/>
          <w:sz w:val="20"/>
          <w:szCs w:val="20"/>
        </w:rPr>
        <w:t xml:space="preserve">En date du [•]</w:t>
      </w:r>
    </w:p>
    <w:p>
      <w:r>
        <w:br w:type="page"/>
      </w:r>
    </w:p>
    <w:p>
      <w:pPr>
        <w:spacing w:after="160"/>
      </w:pPr>
      <w:r>
        <w:rPr>
          <w:b/>
          <w:bCs/>
          <w:color w:val="1F3864"/>
          <w:sz w:val="26"/>
          <w:szCs w:val="2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Entre les soussignés</w:t>
      </w:r>
    </w:p>
    <w:p>
      <w:pPr>
        <w:spacing w:after="120" w:line="276"/>
        <w:jc w:val="both"/>
      </w:pPr>
      <w:r>
        <w:rPr>
          <w:b/>
          <w:bCs/>
        </w:rPr>
        <w:t xml:space="preserve">1. La Société – </w:t>
      </w:r>
      <w:r>
        <w:rPr>
          <w:b/>
          <w:bCs/>
          <w:color w:val="C00000"/>
        </w:rPr>
        <w:t xml:space="preserve">[DÉNOMINATION]</w:t>
      </w:r>
      <w:r>
        <w:t xml:space="preserve">, SAS au capital de </w:t>
      </w:r>
      <w:r>
        <w:rPr>
          <w:b/>
          <w:bCs/>
          <w:color w:val="C00000"/>
        </w:rPr>
        <w:t xml:space="preserve">[•] €</w:t>
      </w:r>
      <w:r>
        <w:t xml:space="preserve">, siège social </w:t>
      </w:r>
      <w:r>
        <w:rPr>
          <w:b/>
          <w:bCs/>
          <w:color w:val="C00000"/>
        </w:rPr>
        <w:t xml:space="preserve">[ADRESSE]</w:t>
      </w:r>
      <w:r>
        <w:t xml:space="preserve">, RCS de </w:t>
      </w:r>
      <w:r>
        <w:rPr>
          <w:b/>
          <w:bCs/>
          <w:color w:val="C00000"/>
        </w:rPr>
        <w:t xml:space="preserve">[VILLE]</w:t>
      </w:r>
      <w:r>
        <w:t xml:space="preserve"> n° </w:t>
      </w:r>
      <w:r>
        <w:rPr>
          <w:b/>
          <w:bCs/>
          <w:color w:val="C00000"/>
        </w:rPr>
        <w:t xml:space="preserve">[•]</w:t>
      </w:r>
      <w:r>
        <w:t xml:space="preserve">, représentée par son Président,</w:t>
      </w:r>
    </w:p>
    <w:p>
      <w:pPr>
        <w:spacing w:after="120" w:line="276"/>
        <w:jc w:val="both"/>
      </w:pPr>
      <w:r>
        <w:t xml:space="preserve">ci-après la « Société »,</w:t>
      </w:r>
    </w:p>
    <w:p>
      <w:pPr>
        <w:spacing w:after="120" w:line="276"/>
        <w:jc w:val="both"/>
      </w:pPr>
      <w:r>
        <w:rPr>
          <w:b/>
          <w:bCs/>
        </w:rPr>
        <w:t xml:space="preserve">2. L’Investisseur – </w:t>
      </w:r>
      <w:r>
        <w:rPr>
          <w:b/>
          <w:bCs/>
          <w:color w:val="C00000"/>
        </w:rPr>
        <w:t xml:space="preserve">[IDENTITÉ / COORDONNÉES]</w:t>
      </w:r>
      <w:r>
        <w:t xml:space="preserve">,</w:t>
      </w:r>
    </w:p>
    <w:p>
      <w:pPr>
        <w:spacing w:after="120" w:line="276"/>
        <w:jc w:val="both"/>
      </w:pPr>
      <w:r>
        <w:t xml:space="preserve">ci-après l’« Investisseur »,</w:t>
      </w:r>
    </w:p>
    <w:p>
      <w:pPr>
        <w:spacing w:after="120" w:line="276"/>
        <w:jc w:val="both"/>
      </w:pPr>
      <w:r>
        <w:rPr>
          <w:b/>
          <w:bCs/>
        </w:rPr>
        <w:t xml:space="preserve">Ensemble les « Parties ».</w:t>
      </w:r>
    </w:p>
    <w:p>
      <w:pPr>
        <w:pStyle w:val="Heading1"/>
      </w:pPr>
      <w:r>
        <w:t xml:space="preserve">Préambule</w:t>
      </w:r>
    </w:p>
    <w:p>
      <w:pPr>
        <w:pStyle w:val="ListParagraph"/>
        <w:numPr>
          <w:ilvl w:val="0"/>
          <w:numId w:val="2"/>
        </w:numPr>
        <w:spacing w:after="70" w:line="270"/>
        <w:jc w:val="both"/>
      </w:pPr>
      <w:r>
        <w:t xml:space="preserve">L’Investisseur souhaite investir dans la Société selon un mécanisme d’investissement convertible permettant de différer la valorisation à la prochaine levée de fonds.</w:t>
      </w:r>
    </w:p>
    <w:p>
      <w:pPr>
        <w:pStyle w:val="ListParagraph"/>
        <w:numPr>
          <w:ilvl w:val="0"/>
          <w:numId w:val="2"/>
        </w:numPr>
        <w:spacing w:after="70" w:line="270"/>
        <w:jc w:val="both"/>
      </w:pPr>
      <w:r>
        <w:t xml:space="preserve">À cet effet, la Société émet au profit de l’Investisseur des bons de souscription d’actions (les « BSA AIR »), dont l’exercice donnera lieu à l’émission d’actions selon les modalités ci-après.</w:t>
      </w:r>
    </w:p>
    <w:p>
      <w:pPr>
        <w:pStyle w:val="ListParagraph"/>
        <w:numPr>
          <w:ilvl w:val="0"/>
          <w:numId w:val="2"/>
        </w:numPr>
        <w:spacing w:after="70" w:line="270"/>
        <w:jc w:val="both"/>
      </w:pPr>
      <w:r>
        <w:t xml:space="preserve">Le présent contrat (le « Contrat ») a pour objet de définir les caractéristiques des BSA AIR, leur prix de souscription, leurs cas et modalités d’exercice, ainsi que les droits et engagements des Parties.</w:t>
      </w:r>
    </w:p>
    <w:p>
      <w:pPr>
        <w:spacing w:after="120" w:line="276"/>
        <w:jc w:val="both"/>
      </w:pPr>
      <w:r>
        <w:rPr>
          <w:b/>
          <w:bCs/>
        </w:rPr>
        <w:t xml:space="preserve">Ceci exposé, il a été convenu ce qui suit.</w:t>
      </w:r>
    </w:p>
    <w:p>
      <w:pPr>
        <w:pStyle w:val="Heading1"/>
      </w:pPr>
      <w:r>
        <w:t xml:space="preserve">Article 1 – Définitions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00"/>
        <w:gridCol w:w="6606"/>
      </w:tblGrid>
      <w:t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top"/>
          </w:tcPr>
          <w:p>
            <w:r>
              <w:rPr>
                <w:b/>
                <w:bCs/>
              </w:rPr>
              <w:t xml:space="preserve">Montant de l’Investissement</w:t>
            </w:r>
          </w:p>
        </w:tc>
        <w:tc>
          <w:tcPr>
            <w:tcW w:type="dxa" w:w="660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both"/>
            </w:pPr>
            <w:r>
              <w:t xml:space="preserve">La somme versée par l’Investisseur en contrepartie de la souscription des BSA AIR, soit </w:t>
            </w:r>
            <w:r>
              <w:rPr>
                <w:b/>
                <w:bCs/>
                <w:color w:val="C00000"/>
              </w:rPr>
              <w:t xml:space="preserve">[•] €</w:t>
            </w:r>
            <w:r>
              <w:t xml:space="preserve">.</w:t>
            </w:r>
          </w:p>
        </w:tc>
      </w:tr>
      <w:tr>
        <w:tc>
          <w:tcPr>
            <w:tcW w:type="dxa" w:w="2700"/>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vAlign w:val="top"/>
          </w:tcPr>
          <w:p>
            <w:r>
              <w:rPr>
                <w:b/>
                <w:bCs/>
              </w:rPr>
              <w:t xml:space="preserve">Levée Qualifiée</w:t>
            </w:r>
          </w:p>
        </w:tc>
        <w:tc>
          <w:tcPr>
            <w:tcW w:type="dxa" w:w="6606"/>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tcPr>
          <w:p>
            <w:pPr>
              <w:jc w:val="both"/>
            </w:pPr>
            <w:r>
              <w:t xml:space="preserve">Toute augmentation de capital en numéraire souscrite par un ou plusieurs investisseurs pour un montant total au moins égal à </w:t>
            </w:r>
            <w:r>
              <w:rPr>
                <w:b/>
                <w:bCs/>
                <w:color w:val="C00000"/>
              </w:rPr>
              <w:t xml:space="preserve">[•] €</w:t>
            </w:r>
            <w:r>
              <w:t xml:space="preserve">, postérieure à la date des présentes.</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top"/>
          </w:tcPr>
          <w:p>
            <w:r>
              <w:rPr>
                <w:b/>
                <w:bCs/>
              </w:rPr>
              <w:t xml:space="preserve">Liquidité</w:t>
            </w:r>
          </w:p>
        </w:tc>
        <w:tc>
          <w:tcPr>
            <w:tcW w:type="dxa" w:w="660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both"/>
            </w:pPr>
            <w:r>
              <w:t xml:space="preserve">Toute cession de contrôle, fusion, cession de la quasi-totalité des actifs, ou introduction en bourse de la Société.</w:t>
            </w:r>
          </w:p>
        </w:tc>
      </w:tr>
      <w:tr>
        <w:tc>
          <w:tcPr>
            <w:tcW w:type="dxa" w:w="2700"/>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vAlign w:val="top"/>
          </w:tcPr>
          <w:p>
            <w:r>
              <w:rPr>
                <w:b/>
                <w:bCs/>
              </w:rPr>
              <w:t xml:space="preserve">Date Butoir</w:t>
            </w:r>
          </w:p>
        </w:tc>
        <w:tc>
          <w:tcPr>
            <w:tcW w:type="dxa" w:w="6606"/>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tcPr>
          <w:p>
            <w:pPr>
              <w:jc w:val="both"/>
            </w:pPr>
            <w:r>
              <w:t xml:space="preserve">La date du </w:t>
            </w:r>
            <w:r>
              <w:rPr>
                <w:b/>
                <w:bCs/>
                <w:color w:val="C00000"/>
              </w:rPr>
              <w:t xml:space="preserve">[•] (ex. 24 à 36 mois après la signature)</w:t>
            </w:r>
            <w:r>
              <w:t xml:space="preserve">, à laquelle les BSA AIR non encore exercés sont convertis dans les conditions de l’Article 4.3.</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top"/>
          </w:tcPr>
          <w:p>
            <w:r>
              <w:rPr>
                <w:b/>
                <w:bCs/>
              </w:rPr>
              <w:t xml:space="preserve">Décote</w:t>
            </w:r>
          </w:p>
        </w:tc>
        <w:tc>
          <w:tcPr>
            <w:tcW w:type="dxa" w:w="660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both"/>
            </w:pPr>
            <w:r>
              <w:t xml:space="preserve">Le pourcentage de </w:t>
            </w:r>
            <w:r>
              <w:rPr>
                <w:b/>
                <w:bCs/>
                <w:color w:val="C00000"/>
              </w:rPr>
              <w:t xml:space="preserve">[•] % (ex. 15 à 25 %)</w:t>
            </w:r>
            <w:r>
              <w:t xml:space="preserve"> appliqué au prix par action de la Levée Qualifiée.</w:t>
            </w:r>
          </w:p>
        </w:tc>
      </w:tr>
      <w:tr>
        <w:tc>
          <w:tcPr>
            <w:tcW w:type="dxa" w:w="2700"/>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vAlign w:val="top"/>
          </w:tcPr>
          <w:p>
            <w:r>
              <w:rPr>
                <w:b/>
                <w:bCs/>
              </w:rPr>
              <w:t xml:space="preserve">Valorisation Plafond (Cap)</w:t>
            </w:r>
          </w:p>
        </w:tc>
        <w:tc>
          <w:tcPr>
            <w:tcW w:type="dxa" w:w="6606"/>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tcPr>
          <w:p>
            <w:pPr>
              <w:jc w:val="both"/>
            </w:pPr>
            <w:r>
              <w:t xml:space="preserve">La valorisation pre-money maximale retenue pour le calcul du Prix de Conversion, soit </w:t>
            </w:r>
            <w:r>
              <w:rPr>
                <w:b/>
                <w:bCs/>
                <w:color w:val="C00000"/>
              </w:rPr>
              <w:t xml:space="preserve">[•] €</w:t>
            </w:r>
            <w:r>
              <w:t xml:space="preserve">.</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top"/>
          </w:tcPr>
          <w:p>
            <w:r>
              <w:rPr>
                <w:b/>
                <w:bCs/>
              </w:rPr>
              <w:t xml:space="preserve">Valorisation Plancher (Floor)</w:t>
            </w:r>
          </w:p>
        </w:tc>
        <w:tc>
          <w:tcPr>
            <w:tcW w:type="dxa" w:w="660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both"/>
            </w:pPr>
            <w:r>
              <w:t xml:space="preserve">La valorisation pre-money minimale retenue pour le calcul du Prix de Conversion, soit </w:t>
            </w:r>
            <w:r>
              <w:rPr>
                <w:b/>
                <w:bCs/>
                <w:color w:val="C00000"/>
              </w:rPr>
              <w:t xml:space="preserve">[•] €</w:t>
            </w:r>
            <w:r>
              <w:t xml:space="preserve">. [Optionnel.]</w:t>
            </w:r>
          </w:p>
        </w:tc>
      </w:tr>
      <w:tr>
        <w:tc>
          <w:tcPr>
            <w:tcW w:type="dxa" w:w="2700"/>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vAlign w:val="top"/>
          </w:tcPr>
          <w:p>
            <w:r>
              <w:rPr>
                <w:b/>
                <w:bCs/>
              </w:rPr>
              <w:t xml:space="preserve">Nombre d’Actions Pleinement Dilué</w:t>
            </w:r>
          </w:p>
        </w:tc>
        <w:tc>
          <w:tcPr>
            <w:tcW w:type="dxa" w:w="6606"/>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tcPr>
          <w:p>
            <w:pPr>
              <w:jc w:val="both"/>
            </w:pPr>
            <w:r>
              <w:t xml:space="preserve">Le nombre total d’actions composant le capital sur une base pleinement diluée immédiatement avant la conversion, incluant les instruments donnant accès au capital et le pool d’options, à l’exclusion des actions émises au titre des présents BSA AIR.</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top"/>
          </w:tcPr>
          <w:p>
            <w:r>
              <w:rPr>
                <w:b/>
                <w:bCs/>
              </w:rPr>
              <w:t xml:space="preserve">Prix de Conversion</w:t>
            </w:r>
          </w:p>
        </w:tc>
        <w:tc>
          <w:tcPr>
            <w:tcW w:type="dxa" w:w="660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both"/>
            </w:pPr>
            <w:r>
              <w:t xml:space="preserve">Le prix par action retenu pour déterminer le nombre d’actions émises lors de l’exercice, calculé selon l’Article 5.</w:t>
            </w:r>
          </w:p>
        </w:tc>
      </w:tr>
    </w:tbl>
    <w:p>
      <w:pPr>
        <w:pStyle w:val="Heading1"/>
      </w:pPr>
      <w:r>
        <w:t xml:space="preserve">Article 2 – Émission et souscription des BSA AIR</w:t>
      </w:r>
    </w:p>
    <w:p>
      <w:pPr>
        <w:spacing w:after="120" w:line="276"/>
        <w:jc w:val="both"/>
      </w:pPr>
      <w:r>
        <w:t xml:space="preserve">La Société émet </w:t>
      </w:r>
      <w:r>
        <w:rPr>
          <w:b/>
          <w:bCs/>
          <w:color w:val="C00000"/>
        </w:rPr>
        <w:t xml:space="preserve">[•]</w:t>
      </w:r>
      <w:r>
        <w:t xml:space="preserve"> BSA AIR au profit de l’Investisseur, qui les souscrit. Le prix de souscription des BSA AIR est égal au Montant de l’Investissement, soit </w:t>
      </w:r>
      <w:r>
        <w:rPr>
          <w:b/>
          <w:bCs/>
          <w:color w:val="C00000"/>
        </w:rPr>
        <w:t xml:space="preserve">[•] €</w:t>
      </w:r>
      <w:r>
        <w:t xml:space="preserve">, libéré intégralement à la souscription par virement sur le compte de la Société. Chaque BSA AIR donne le droit de souscrire à des actions de la Société dans les conditions des Articles 4 à 6.</w:t>
      </w:r>
    </w:p>
    <w:p>
      <w:pPr>
        <w:pStyle w:val="Heading1"/>
      </w:pPr>
      <w:r>
        <w:t xml:space="preserve">Article 3 – Caractéristiques des BSA AIR</w:t>
      </w:r>
    </w:p>
    <w:p>
      <w:pPr>
        <w:pStyle w:val="ListParagraph"/>
        <w:numPr>
          <w:ilvl w:val="0"/>
          <w:numId w:val="2"/>
        </w:numPr>
        <w:spacing w:after="70" w:line="270"/>
        <w:jc w:val="both"/>
      </w:pPr>
      <w:r>
        <w:t xml:space="preserve">Les BSA AIR sont incessibles, sauf accord préalable écrit de la Société et sous réserve de l’Article 9.</w:t>
      </w:r>
    </w:p>
    <w:p>
      <w:pPr>
        <w:pStyle w:val="ListParagraph"/>
        <w:numPr>
          <w:ilvl w:val="0"/>
          <w:numId w:val="2"/>
        </w:numPr>
        <w:spacing w:after="70" w:line="270"/>
        <w:jc w:val="both"/>
      </w:pPr>
      <w:r>
        <w:t xml:space="preserve">Les BSA AIR ne confèrent pas la qualité d’associé ni de droit de vote ou de dividende avant leur exercice.</w:t>
      </w:r>
    </w:p>
    <w:p>
      <w:pPr>
        <w:pStyle w:val="ListParagraph"/>
        <w:numPr>
          <w:ilvl w:val="0"/>
          <w:numId w:val="2"/>
        </w:numPr>
        <w:spacing w:after="70" w:line="270"/>
        <w:jc w:val="both"/>
      </w:pPr>
      <w:r>
        <w:t xml:space="preserve">Les BSA AIR caducs sont annulés sans remboursement, sauf dans les cas expressément prévus au présent Contrat.</w:t>
      </w:r>
    </w:p>
    <w:p>
      <w:pPr>
        <w:pStyle w:val="Heading1"/>
      </w:pPr>
      <w:r>
        <w:t xml:space="preserve">Article 4 – Cas d’exercice (conversion)</w:t>
      </w:r>
    </w:p>
    <w:p>
      <w:pPr>
        <w:pStyle w:val="Heading3"/>
      </w:pPr>
      <w:r>
        <w:t xml:space="preserve">4.1 Conversion lors d’une Levée Qualifiée</w:t>
      </w:r>
    </w:p>
    <w:p>
      <w:pPr>
        <w:spacing w:after="120" w:line="276"/>
        <w:jc w:val="both"/>
      </w:pPr>
      <w:r>
        <w:t xml:space="preserve">En cas de Levée Qualifiée avant la Date Butoir, les BSA AIR sont automatiquement exercés et convertis en actions, concomitamment à la réalisation de la Levée Qualifiée, au Prix de Conversion défini à l’Article 5. Les actions émises seront de la même catégorie que celles émises lors de la Levée Qualifiée [ou des actions de préférence dont les droits sont définis par les statuts].</w:t>
      </w:r>
    </w:p>
    <w:p>
      <w:pPr>
        <w:pStyle w:val="Heading3"/>
      </w:pPr>
      <w:r>
        <w:t xml:space="preserve">4.2 Conversion en cas de Liquidité</w:t>
      </w:r>
    </w:p>
    <w:p>
      <w:pPr>
        <w:spacing w:after="120" w:line="276"/>
        <w:jc w:val="both"/>
      </w:pPr>
      <w:r>
        <w:t xml:space="preserve">En cas de Liquidité intervenant avant toute Levée Qualifiée et avant la Date Butoir, l’Investisseur percevra, à son choix, soit (i) le remboursement du Montant de l’Investissement majoré d’une prime de [•] % (ou multiple de [•]x), soit (ii) la conversion des BSA AIR en actions sur la base de la Valorisation Plafond, immédiatement avant la Liquidité, afin de participer au produit de celle-ci, le montant le plus élevé étant retenu.</w:t>
      </w:r>
    </w:p>
    <w:p>
      <w:pPr>
        <w:pStyle w:val="Heading3"/>
      </w:pPr>
      <w:r>
        <w:t xml:space="preserve">4.3 Conversion à la Date Butoir</w:t>
      </w:r>
    </w:p>
    <w:p>
      <w:pPr>
        <w:spacing w:after="120" w:line="276"/>
        <w:jc w:val="both"/>
      </w:pPr>
      <w:r>
        <w:t xml:space="preserve">À défaut de Levée Qualifiée ou de Liquidité avant la Date Butoir, les BSA AIR seront convertis en actions à la Date Butoir, sur la base de la Valorisation Plancher (à défaut, de la Valorisation Plafond), au Prix de Conversion correspondant.</w:t>
      </w:r>
    </w:p>
    <w:p>
      <w:pPr>
        <w:pStyle w:val="Heading1"/>
      </w:pPr>
      <w:r>
        <w:t xml:space="preserve">Article 5 – Détermination du Prix de Conversion</w:t>
      </w:r>
    </w:p>
    <w:p>
      <w:pPr>
        <w:spacing w:after="120" w:line="276"/>
        <w:jc w:val="both"/>
      </w:pPr>
      <w:r>
        <w:t xml:space="preserve">Le Prix de Conversion par action est égal au plus faible des deux montants suivants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1F3864" w:sz="6"/>
              <w:left w:val="single" w:color="1F3864" w:sz="6"/>
              <w:bottom w:val="single" w:color="1F3864" w:sz="6"/>
              <w:right w:val="single" w:color="1F3864" w:sz="6"/>
            </w:tcBorders>
            <w:shd w:fill="F2F6FC" w:val="clear"/>
            <w:tcMar>
              <w:top w:type="dxa" w:w="140"/>
              <w:left w:type="dxa" w:w="200"/>
              <w:bottom w:type="dxa" w:w="140"/>
              <w:right w:type="dxa" w:w="200"/>
            </w:tcMar>
          </w:tcPr>
          <w:p>
            <w:pPr>
              <w:spacing w:after="60"/>
              <w:jc w:val="center"/>
            </w:pPr>
            <w:r>
              <w:rPr>
                <w:b/>
                <w:bCs/>
              </w:rPr>
              <w:t xml:space="preserve">(a) Prix par action de la Levée Qualifiée × (1 – Décote)</w:t>
            </w:r>
          </w:p>
          <w:p>
            <w:pPr>
              <w:spacing w:after="60"/>
              <w:jc w:val="center"/>
            </w:pPr>
            <w:r>
              <w:rPr>
                <w:i/>
                <w:iCs/>
                <w:color w:val="555555"/>
              </w:rPr>
              <w:t xml:space="preserve">– et –</w:t>
            </w:r>
          </w:p>
          <w:p>
            <w:pPr>
              <w:spacing w:after="60"/>
              <w:jc w:val="center"/>
            </w:pPr>
            <w:r>
              <w:rPr>
                <w:b/>
                <w:bCs/>
              </w:rPr>
              <w:t xml:space="preserve">(b) Valorisation Plafond ÷ Nombre d’Actions Pleinement Dilué</w:t>
            </w:r>
          </w:p>
        </w:tc>
      </w:tr>
    </w:tbl>
    <w:p>
      <w:pPr>
        <w:spacing w:after="120" w:line="276"/>
        <w:jc w:val="both"/>
      </w:pPr>
      <w:r>
        <w:t xml:space="preserve">sous réserve, le cas échéant, d’un Prix de Conversion qui ne saurait être inférieur à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1F3864" w:sz="6"/>
              <w:left w:val="single" w:color="1F3864" w:sz="6"/>
              <w:bottom w:val="single" w:color="1F3864" w:sz="6"/>
              <w:right w:val="single" w:color="1F3864" w:sz="6"/>
            </w:tcBorders>
            <w:shd w:fill="F2F6FC" w:val="clear"/>
            <w:tcMar>
              <w:top w:type="dxa" w:w="140"/>
              <w:left w:type="dxa" w:w="200"/>
              <w:bottom w:type="dxa" w:w="140"/>
              <w:right w:type="dxa" w:w="200"/>
            </w:tcMar>
          </w:tcPr>
          <w:p>
            <w:pPr>
              <w:spacing w:after="60"/>
              <w:jc w:val="center"/>
            </w:pPr>
            <w:r>
              <w:rPr>
                <w:b/>
                <w:bCs/>
              </w:rPr>
              <w:t xml:space="preserve">(c) Valorisation Plancher ÷ Nombre d’Actions Pleinement Dilué</w:t>
            </w:r>
          </w:p>
        </w:tc>
      </w:tr>
    </w:tbl>
    <w:p>
      <w:pPr>
        <w:spacing w:after="120" w:line="276"/>
        <w:jc w:val="both"/>
      </w:pPr>
      <w:r>
        <w:t xml:space="preserve">Le nombre d’actions émises au profit de l’Investisseur est égal à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1F3864" w:sz="6"/>
              <w:left w:val="single" w:color="1F3864" w:sz="6"/>
              <w:bottom w:val="single" w:color="1F3864" w:sz="6"/>
              <w:right w:val="single" w:color="1F3864" w:sz="6"/>
            </w:tcBorders>
            <w:shd w:fill="F2F6FC" w:val="clear"/>
            <w:tcMar>
              <w:top w:type="dxa" w:w="140"/>
              <w:left w:type="dxa" w:w="200"/>
              <w:bottom w:type="dxa" w:w="140"/>
              <w:right w:type="dxa" w:w="200"/>
            </w:tcMar>
          </w:tcPr>
          <w:p>
            <w:pPr>
              <w:spacing w:after="60"/>
              <w:jc w:val="center"/>
            </w:pPr>
            <w:r>
              <w:rPr>
                <w:b/>
                <w:bCs/>
              </w:rPr>
              <w:t xml:space="preserve">Nombre d’actions = Montant de l’Investissement ÷ Prix de Conversion</w:t>
            </w:r>
          </w:p>
          <w:p>
            <w:pPr>
              <w:spacing w:after="60"/>
              <w:jc w:val="center"/>
            </w:pPr>
            <w:r>
              <w:rPr>
                <w:i/>
                <w:iCs/>
                <w:color w:val="555555"/>
                <w:sz w:val="18"/>
                <w:szCs w:val="18"/>
              </w:rPr>
              <w:t xml:space="preserve">(arrondi à l’unité inférieure ; les rompus ne donnent pas lieu à indemnisation)</w:t>
            </w:r>
          </w:p>
        </w:tc>
      </w:tr>
    </w:tbl>
    <w:p>
      <w:pPr>
        <w:spacing w:after="120" w:line="276"/>
        <w:jc w:val="both"/>
      </w:pPr>
      <w:r>
        <w:rPr>
          <w:i/>
          <w:iCs/>
          <w:color w:val="555555"/>
          <w:sz w:val="18"/>
          <w:szCs w:val="18"/>
        </w:rPr>
        <w:t xml:space="preserve">[Note : préciser si la Décote et le Plafond sont cumulatifs (le plus faible des deux – standard) ou alternatifs. Préciser si le calcul du Plafond s’entend pre-money ou post-money, point déterminant pour la dilution.]</w:t>
      </w:r>
    </w:p>
    <w:p>
      <w:pPr>
        <w:pStyle w:val="Heading1"/>
      </w:pPr>
      <w:r>
        <w:t xml:space="preserve">Article 6 – Modalités d’exercice et d’émission des actions</w:t>
      </w:r>
    </w:p>
    <w:p>
      <w:pPr>
        <w:spacing w:after="120" w:line="276"/>
        <w:jc w:val="both"/>
      </w:pPr>
      <w:r>
        <w:t xml:space="preserve">L’exercice des BSA AIR interviendra de plein droit à la survenance du cas d’exercice. Le prix d’exercice des actions nouvelles (correspondant à leur valeur nominale) sera libéré par compensation avec la créance de l’Investisseur née du prix de souscription des BSA AIR [et/ou par incorporation de la prime]. Le Président constatera l’augmentation de capital corrélative, procédera à l’inscription des actions en compte et à la mise à jour des registres. L’Investisseur adhérera, le cas échéant, au pacte d’actionnaires en vigueur.</w:t>
      </w:r>
    </w:p>
    <w:p>
      <w:pPr>
        <w:pStyle w:val="Heading1"/>
      </w:pPr>
      <w:r>
        <w:t xml:space="preserve">Article 7 – Engagements de la Société</w:t>
      </w:r>
    </w:p>
    <w:p>
      <w:pPr>
        <w:pStyle w:val="ListParagraph"/>
        <w:numPr>
          <w:ilvl w:val="0"/>
          <w:numId w:val="2"/>
        </w:numPr>
        <w:spacing w:after="70" w:line="270"/>
        <w:jc w:val="both"/>
      </w:pPr>
      <w:r>
        <w:t xml:space="preserve">Maintenir en permanence les autorisations et délégations sociales nécessaires à l’émission des actions résultant de l’exercice des BSA AIR ;</w:t>
      </w:r>
    </w:p>
    <w:p>
      <w:pPr>
        <w:pStyle w:val="ListParagraph"/>
        <w:numPr>
          <w:ilvl w:val="0"/>
          <w:numId w:val="2"/>
        </w:numPr>
        <w:spacing w:after="70" w:line="270"/>
        <w:jc w:val="both"/>
      </w:pPr>
      <w:r>
        <w:t xml:space="preserve">Informer l’Investisseur de tout projet de Levée Qualifiée ou de Liquidité, au plus tard [15] jours avant sa réalisation ;</w:t>
      </w:r>
    </w:p>
    <w:p>
      <w:pPr>
        <w:pStyle w:val="ListParagraph"/>
        <w:numPr>
          <w:ilvl w:val="0"/>
          <w:numId w:val="2"/>
        </w:numPr>
        <w:spacing w:after="70" w:line="270"/>
        <w:jc w:val="both"/>
      </w:pPr>
      <w:r>
        <w:t xml:space="preserve">Ne pas porter atteinte aux droits des porteurs de BSA AIR, conformément aux articles L.228-91 et suivants du Code de commerce ;</w:t>
      </w:r>
    </w:p>
    <w:p>
      <w:pPr>
        <w:pStyle w:val="ListParagraph"/>
        <w:numPr>
          <w:ilvl w:val="0"/>
          <w:numId w:val="2"/>
        </w:numPr>
        <w:spacing w:after="70" w:line="270"/>
        <w:jc w:val="both"/>
      </w:pPr>
      <w:r>
        <w:t xml:space="preserve">Communiquer à l’Investisseur, sur sa demande, les informations financières essentielles à l’appréciation de ses droits.</w:t>
      </w:r>
    </w:p>
    <w:p>
      <w:pPr>
        <w:pStyle w:val="Heading1"/>
      </w:pPr>
      <w:r>
        <w:t xml:space="preserve">Article 8 – Déclarations et garanties</w:t>
      </w:r>
    </w:p>
    <w:p>
      <w:pPr>
        <w:spacing w:after="120" w:line="276"/>
        <w:jc w:val="both"/>
      </w:pPr>
      <w:r>
        <w:t xml:space="preserve">La Société déclare être valablement constituée, disposer de la capacité et des autorisations nécessaires à l’émission des BSA AIR, et que ceux-ci sont valablement émis et libres de tout droit de Tiers. L’Investisseur déclare disposer de la capacité de souscrire, que les fonds ont une origine licite, et reconnaît le caractère risqué et illiquide de son investissement, pouvant entraîner une perte totale du capital investi.</w:t>
      </w:r>
    </w:p>
    <w:p>
      <w:pPr>
        <w:pStyle w:val="Heading1"/>
      </w:pPr>
      <w:r>
        <w:t xml:space="preserve">Article 9 – Transfert des BSA AIR</w:t>
      </w:r>
    </w:p>
    <w:p>
      <w:pPr>
        <w:spacing w:after="120" w:line="276"/>
        <w:jc w:val="both"/>
      </w:pPr>
      <w:r>
        <w:t xml:space="preserve">Les BSA AIR ne peuvent être transférés sans l’accord préalable écrit de la Société, sous réserve des transferts au profit d’un affilié de l’Investisseur, lequel devra reprendre l’ensemble des engagements au titre du présent Contrat.</w:t>
      </w:r>
    </w:p>
    <w:p>
      <w:pPr>
        <w:pStyle w:val="Heading1"/>
      </w:pPr>
      <w:r>
        <w:t xml:space="preserve">Article 10 – Stipulations diverses</w:t>
      </w:r>
    </w:p>
    <w:p>
      <w:pPr>
        <w:pStyle w:val="ListParagraph"/>
        <w:numPr>
          <w:ilvl w:val="0"/>
          <w:numId w:val="2"/>
        </w:numPr>
        <w:spacing w:after="70" w:line="270"/>
        <w:jc w:val="both"/>
      </w:pPr>
      <w:r>
        <w:t xml:space="preserve">Intégralité : le présent Contrat exprime l’intégralité de l’accord des Parties sur son objet.</w:t>
      </w:r>
    </w:p>
    <w:p>
      <w:pPr>
        <w:pStyle w:val="ListParagraph"/>
        <w:numPr>
          <w:ilvl w:val="0"/>
          <w:numId w:val="2"/>
        </w:numPr>
        <w:spacing w:after="70" w:line="270"/>
        <w:jc w:val="both"/>
      </w:pPr>
      <w:r>
        <w:t xml:space="preserve">Nullité partielle : l’invalidité d’une stipulation n’affecte pas la validité des autres.</w:t>
      </w:r>
    </w:p>
    <w:p>
      <w:pPr>
        <w:pStyle w:val="ListParagraph"/>
        <w:numPr>
          <w:ilvl w:val="0"/>
          <w:numId w:val="2"/>
        </w:numPr>
        <w:spacing w:after="70" w:line="270"/>
        <w:jc w:val="both"/>
      </w:pPr>
      <w:r>
        <w:t xml:space="preserve">Modification : toute modification requiert un avenant écrit signé des Parties.</w:t>
      </w:r>
    </w:p>
    <w:p>
      <w:pPr>
        <w:pStyle w:val="ListParagraph"/>
        <w:numPr>
          <w:ilvl w:val="0"/>
          <w:numId w:val="2"/>
        </w:numPr>
        <w:spacing w:after="70" w:line="270"/>
        <w:jc w:val="both"/>
      </w:pPr>
      <w:r>
        <w:t xml:space="preserve">Notifications : par lettre recommandée AR ou voie électronique avec accusé de réception.</w:t>
      </w:r>
    </w:p>
    <w:p>
      <w:pPr>
        <w:pStyle w:val="ListParagraph"/>
        <w:numPr>
          <w:ilvl w:val="0"/>
          <w:numId w:val="2"/>
        </w:numPr>
        <w:spacing w:after="70" w:line="270"/>
        <w:jc w:val="both"/>
      </w:pPr>
      <w:r>
        <w:t xml:space="preserve">Confidentialité : les Parties maintiennent confidentiels le Contrat et son contenu, sauf obligation légale ou accord écrit.</w:t>
      </w:r>
    </w:p>
    <w:p>
      <w:pPr>
        <w:pStyle w:val="Heading1"/>
      </w:pPr>
      <w:r>
        <w:t xml:space="preserve">Article 11 – Droit applicable et juridiction</w:t>
      </w:r>
    </w:p>
    <w:p>
      <w:pPr>
        <w:spacing w:after="120" w:line="276"/>
        <w:jc w:val="both"/>
      </w:pPr>
      <w:r>
        <w:t xml:space="preserve">Le présent Contrat est régi par le droit français. Tout différend sera soumis, à défaut de règlement amiable, [à la compétence exclusive du Tribunal de commerce de Paris / à l’arbitrage selon le règlement [•]].</w:t>
      </w:r>
    </w:p>
    <w:p>
      <w:r>
        <w:br w:type="page"/>
      </w:r>
    </w:p>
    <w:p>
      <w:pPr>
        <w:pStyle w:val="Heading1"/>
      </w:pPr>
      <w:r>
        <w:t xml:space="preserve">Signatures</w:t>
      </w:r>
    </w:p>
    <w:p>
      <w:pPr>
        <w:spacing w:after="120" w:line="276"/>
        <w:jc w:val="both"/>
      </w:pPr>
      <w:r>
        <w:t xml:space="preserve">Fait à [•], le [•], en deux exemplaires originaux [ou par voie de signature électronique conforme au règlement eIDAS].</w:t>
      </w:r>
    </w:p>
    <w:p>
      <w:pPr>
        <w:spacing w:after="360" w:before="400"/>
      </w:pPr>
      <w:r>
        <w:rPr>
          <w:b/>
          <w:bCs/>
        </w:rPr>
        <w:t xml:space="preserve">Pour la Société :</w:t>
      </w:r>
    </w:p>
    <w:p>
      <w:r>
        <w:rPr>
          <w:color w:val="888888"/>
        </w:rPr>
        <w:t xml:space="preserve">_______________________________</w:t>
      </w:r>
    </w:p>
    <w:p>
      <w:pPr>
        <w:spacing w:after="120"/>
      </w:pPr>
      <w:r>
        <w:rPr>
          <w:color w:val="555555"/>
        </w:rPr>
        <w:t xml:space="preserve">[Nom – qualité]</w:t>
      </w:r>
    </w:p>
    <w:p>
      <w:pPr>
        <w:spacing w:after="360" w:before="400"/>
      </w:pPr>
      <w:r>
        <w:rPr>
          <w:b/>
          <w:bCs/>
        </w:rPr>
        <w:t xml:space="preserve">Pour l’Investisseur :</w:t>
      </w:r>
    </w:p>
    <w:p>
      <w:r>
        <w:rPr>
          <w:color w:val="888888"/>
        </w:rPr>
        <w:t xml:space="preserve">_______________________________</w:t>
      </w:r>
    </w:p>
    <w:p>
      <w:pPr>
        <w:spacing w:after="120"/>
      </w:pPr>
      <w:r>
        <w:rPr>
          <w:color w:val="555555"/>
        </w:rPr>
        <w:t xml:space="preserve">[Nom – qualité]</w:t>
      </w:r>
    </w:p>
    <w:p>
      <w:r>
        <w:br w:type="page"/>
      </w:r>
    </w:p>
    <w:p>
      <w:pPr>
        <w:pStyle w:val="Heading1"/>
      </w:pPr>
      <w:r>
        <w:t xml:space="preserve">Annexes</w:t>
      </w:r>
    </w:p>
    <w:p>
      <w:pPr>
        <w:pStyle w:val="ListParagraph"/>
        <w:numPr>
          <w:ilvl w:val="0"/>
          <w:numId w:val="2"/>
        </w:numPr>
        <w:spacing w:after="70" w:line="270"/>
        <w:jc w:val="both"/>
      </w:pPr>
      <w:r>
        <w:t xml:space="preserve">Annexe 1 – Termes et conditions des BSA AIR (délégation, nombre, prix).</w:t>
      </w:r>
    </w:p>
    <w:p>
      <w:pPr>
        <w:pStyle w:val="ListParagraph"/>
        <w:numPr>
          <w:ilvl w:val="0"/>
          <w:numId w:val="2"/>
        </w:numPr>
        <w:spacing w:after="70" w:line="270"/>
        <w:jc w:val="both"/>
      </w:pPr>
      <w:r>
        <w:t xml:space="preserve">Annexe 2 – Table de capitalisation et exemples chiffrés de conversion (scénarios cap / décote / plancher).</w:t>
      </w:r>
    </w:p>
    <w:p>
      <w:pPr>
        <w:pStyle w:val="ListParagraph"/>
        <w:numPr>
          <w:ilvl w:val="0"/>
          <w:numId w:val="2"/>
        </w:numPr>
        <w:spacing w:after="70" w:line="270"/>
        <w:jc w:val="both"/>
      </w:pPr>
      <w:r>
        <w:t xml:space="preserve">Annexe 3 – Bulletin de souscription des BSA AIR.</w:t>
      </w:r>
    </w:p>
    <w:p>
      <w:pPr>
        <w:pBdr>
          <w:top w:val="single" w:color="C00000" w:sz="4" w:space="6"/>
        </w:pBdr>
        <w:spacing w:before="300"/>
      </w:pPr>
      <w:r>
        <w:rPr>
          <w:b/>
          <w:bCs/>
          <w:color w:val="C00000"/>
          <w:sz w:val="18"/>
          <w:szCs w:val="18"/>
        </w:rPr>
        <w:t xml:space="preserve">Note de rédaction (à supprimer avant diffusion) : </w:t>
      </w:r>
      <w:r>
        <w:rPr>
          <w:i/>
          <w:iCs/>
          <w:color w:val="C00000"/>
          <w:sz w:val="18"/>
          <w:szCs w:val="18"/>
        </w:rPr>
        <w:t xml:space="preserve">le BSA AIR fait l’objet d’une délégation de compétence de la collectivité des associés (art. L.225-129 et s. sur renvoi de L.227-1) : vérifier que la délégation couvre le nombre maximal d’actions susceptibles d’être émises. Arbitrer décote / cap / floor et le caractère pre- ou post-money du cap (impact majeur sur la dilution). Joindre des exemples chiffrés. À relire par un avocat.</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06"/>
      </w:tabs>
    </w:pPr>
    <w:r>
      <w:rPr>
        <w:b/>
        <w:bCs/>
        <w:color w:val="1F3864"/>
        <w:sz w:val="16"/>
        <w:szCs w:val="16"/>
      </w:rPr>
      <w:t xml:space="preserve">CONFIDENTIEL</w:t>
    </w:r>
    <w:r>
      <w:rPr>
        <w:color w:val="808080"/>
        <w:sz w:val="16"/>
        <w:szCs w:val="16"/>
      </w:rPr>
      <w:t xml:space="preserve">	BSA AIR – </w:t>
    </w:r>
    <w:r>
      <w:rPr>
        <w:b/>
        <w:bCs/>
        <w:color w:val="C00000"/>
        <w:sz w:val="16"/>
        <w:szCs w:val="16"/>
      </w:rPr>
      <w:t xml:space="preserve">[NOM DE LA SOCIÉTÉ]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25"/>
      <w:szCs w:val="25"/>
    </w:rPr>
  </w:style>
  <w:style w:type="paragraph" w:styleId="Heading2">
    <w:name w:val="Heading 2"/>
    <w:basedOn w:val="Normal"/>
    <w:next w:val="Normal"/>
    <w:qFormat/>
    <w:pPr>
      <w:spacing w:after="100" w:before="200"/>
      <w:outlineLvl w:val="1"/>
    </w:pPr>
    <w:rPr>
      <w:rFonts w:ascii="Arial" w:cs="Arial" w:eastAsia="Arial" w:hAnsi="Arial"/>
      <w:b/>
      <w:bCs/>
      <w:color w:val="2E4A7A"/>
      <w:sz w:val="22"/>
      <w:szCs w:val="22"/>
    </w:rPr>
  </w:style>
  <w:style w:type="paragraph" w:styleId="Heading3">
    <w:name w:val="Heading 3"/>
    <w:basedOn w:val="Normal"/>
    <w:next w:val="Normal"/>
    <w:qFormat/>
    <w:pPr>
      <w:spacing w:after="60" w:before="120"/>
      <w:outlineLvl w:val="2"/>
    </w:pPr>
    <w:rPr>
      <w:rFonts w:ascii="Arial" w:cs="Arial" w:eastAsia="Arial" w:hAnsi="Arial"/>
      <w:b/>
      <w:bCs/>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d'émission de BSA AIR</dc:title>
  <dc:creator>Contrat BSA AIR</dc:creator>
  <cp:lastModifiedBy>Un-named</cp:lastModifiedBy>
  <cp:revision>1</cp:revision>
  <dcterms:created xsi:type="dcterms:W3CDTF">2026-06-11T06:46:03.056Z</dcterms:created>
  <dcterms:modified xsi:type="dcterms:W3CDTF">2026-06-11T06:46:03.057Z</dcterms:modified>
</cp:coreProperties>
</file>

<file path=docProps/custom.xml><?xml version="1.0" encoding="utf-8"?>
<Properties xmlns="http://schemas.openxmlformats.org/officeDocument/2006/custom-properties" xmlns:vt="http://schemas.openxmlformats.org/officeDocument/2006/docPropsVTypes"/>
</file>