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100"/>
        <w:jc w:val="center"/>
      </w:pPr>
      <w:r>
        <w:rPr>
          <w:b/>
          <w:bCs/>
          <w:color w:val="1F3864"/>
          <w:sz w:val="42"/>
          <w:szCs w:val="42"/>
        </w:rPr>
        <w:t xml:space="preserve">CONTRAT D’APPORT</w:t>
      </w:r>
    </w:p>
    <w:p>
      <w:pPr>
        <w:spacing w:after="60"/>
        <w:jc w:val="center"/>
      </w:pPr>
      <w:r>
        <w:rPr>
          <w:b/>
          <w:bCs/>
          <w:color w:val="1F3864"/>
          <w:sz w:val="42"/>
          <w:szCs w:val="42"/>
        </w:rPr>
        <w:t xml:space="preserve">D’AFFAIRES</w:t>
      </w:r>
    </w:p>
    <w:p>
      <w:pPr>
        <w:spacing w:after="900"/>
        <w:jc w:val="center"/>
      </w:pPr>
      <w:r>
        <w:rPr>
          <w:i/>
          <w:iCs/>
          <w:color w:val="555555"/>
          <w:sz w:val="24"/>
          <w:szCs w:val="24"/>
        </w:rPr>
        <w:t xml:space="preserve">(Mise en relation – rémunération de l’apporteur)</w:t>
      </w:r>
    </w:p>
    <w:p>
      <w:pPr>
        <w:spacing w:after="40"/>
        <w:jc w:val="center"/>
      </w:pPr>
      <w:r>
        <w:rPr>
          <w:sz w:val="22"/>
          <w:szCs w:val="22"/>
        </w:rPr>
        <w:t xml:space="preserve">entre</w:t>
      </w:r>
    </w:p>
    <w:p>
      <w:pPr>
        <w:spacing w:after="40"/>
        <w:jc w:val="center"/>
      </w:pPr>
      <w:r>
        <w:rPr>
          <w:b/>
          <w:bCs/>
          <w:color w:val="1F3864"/>
          <w:sz w:val="30"/>
          <w:szCs w:val="30"/>
        </w:rPr>
        <w:t xml:space="preserve">Liquid+</w:t>
      </w:r>
    </w:p>
    <w:p>
      <w:pPr>
        <w:spacing w:after="900"/>
        <w:jc w:val="center"/>
      </w:pPr>
      <w:r>
        <w:rPr>
          <w:color w:val="555555"/>
          <w:sz w:val="22"/>
          <w:szCs w:val="22"/>
        </w:rPr>
        <w:t xml:space="preserve">et le Bénéficiaire</w:t>
      </w:r>
    </w:p>
    <w:p>
      <w:pPr>
        <w:jc w:val="center"/>
      </w:pPr>
      <w:r>
        <w:rPr>
          <w:b/>
          <w:bCs/>
          <w:color w:val="C00000"/>
          <w:sz w:val="20"/>
          <w:szCs w:val="20"/>
        </w:rPr>
        <w:t xml:space="preserve">En date du [•]</w:t>
      </w:r>
    </w:p>
    <w:p>
      <w:r>
        <w:br w:type="page"/>
      </w:r>
    </w:p>
    <w:p>
      <w:pPr>
        <w:spacing w:after="160"/>
      </w:pPr>
      <w:r>
        <w:rPr>
          <w:b/>
          <w:bCs/>
          <w:color w:val="1F3864"/>
          <w:sz w:val="26"/>
          <w:szCs w:val="2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Entre les soussignés</w:t>
      </w:r>
    </w:p>
    <w:p>
      <w:pPr>
        <w:spacing w:after="120" w:line="276"/>
        <w:jc w:val="both"/>
      </w:pPr>
      <w:r>
        <w:rPr>
          <w:b/>
          <w:bCs/>
        </w:rPr>
        <w:t xml:space="preserve">1. L’Apporteur – </w:t>
      </w:r>
      <w:r>
        <w:rPr>
          <w:b/>
          <w:bCs/>
        </w:rPr>
        <w:t xml:space="preserve">Liquid+</w:t>
      </w:r>
      <w:r>
        <w:t xml:space="preserve">, </w:t>
      </w:r>
      <w:r>
        <w:rPr>
          <w:b/>
          <w:bCs/>
          <w:color w:val="C00000"/>
        </w:rPr>
        <w:t xml:space="preserve">[FORME SOCIALE]</w:t>
      </w:r>
      <w:r>
        <w:t xml:space="preserve"> au capital de </w:t>
      </w:r>
      <w:r>
        <w:rPr>
          <w:b/>
          <w:bCs/>
          <w:color w:val="C00000"/>
        </w:rPr>
        <w:t xml:space="preserve">[•] €</w:t>
      </w:r>
      <w:r>
        <w:t xml:space="preserve">, siège social </w:t>
      </w:r>
      <w:r>
        <w:rPr>
          <w:b/>
          <w:bCs/>
          <w:color w:val="C00000"/>
        </w:rPr>
        <w:t xml:space="preserve">[ADRESSE]</w:t>
      </w:r>
      <w:r>
        <w:t xml:space="preserve">, RCS de </w:t>
      </w:r>
      <w:r>
        <w:rPr>
          <w:b/>
          <w:bCs/>
          <w:color w:val="C00000"/>
        </w:rPr>
        <w:t xml:space="preserve">[•]</w:t>
      </w:r>
      <w:r>
        <w:t xml:space="preserve">, représentée par </w:t>
      </w:r>
      <w:r>
        <w:rPr>
          <w:b/>
          <w:bCs/>
          <w:color w:val="C00000"/>
        </w:rPr>
        <w:t xml:space="preserve">[•]</w:t>
      </w:r>
      <w:r>
        <w:t xml:space="preserve">,</w:t>
      </w:r>
    </w:p>
    <w:p>
      <w:pPr>
        <w:spacing w:after="120" w:line="276"/>
        <w:jc w:val="both"/>
      </w:pPr>
      <w:r>
        <w:t xml:space="preserve">ci-après « </w:t>
      </w:r>
      <w:r>
        <w:rPr>
          <w:b/>
          <w:bCs/>
        </w:rPr>
        <w:t xml:space="preserve">Liquid+</w:t>
      </w:r>
      <w:r>
        <w:t xml:space="preserve"> » ou l’« Apporteur »,</w:t>
      </w:r>
    </w:p>
    <w:p>
      <w:pPr>
        <w:spacing w:after="120" w:line="276"/>
        <w:jc w:val="both"/>
      </w:pPr>
      <w:r>
        <w:rPr>
          <w:b/>
          <w:bCs/>
        </w:rPr>
        <w:t xml:space="preserve">2. Le Bénéficiaire – </w:t>
      </w:r>
      <w:r>
        <w:rPr>
          <w:b/>
          <w:bCs/>
          <w:color w:val="C00000"/>
        </w:rPr>
        <w:t xml:space="preserve">[IDENTITÉ – STARTUP BÉNÉFICIANT DE L’APPORT D’INVESTISSEURS, OU INVESTISSEUR BÉNÉFICIANT DE L’APPORT D’OPPORTUNITÉS]</w:t>
      </w:r>
      <w:r>
        <w:t xml:space="preserve">,</w:t>
      </w:r>
    </w:p>
    <w:p>
      <w:pPr>
        <w:spacing w:after="120" w:line="276"/>
        <w:jc w:val="both"/>
      </w:pPr>
      <w:r>
        <w:t xml:space="preserve">ci-après le « Bénéficiaire ». Ensemble les « Parties ».</w:t>
      </w:r>
    </w:p>
    <w:p>
      <w:pPr>
        <w:pStyle w:val="Heading1"/>
      </w:pPr>
      <w:r>
        <w:t xml:space="preserve">Préambule</w:t>
      </w:r>
    </w:p>
    <w:p>
      <w:pPr>
        <w:spacing w:after="120" w:line="276"/>
        <w:jc w:val="both"/>
      </w:pPr>
      <w:r>
        <w:rPr>
          <w:b/>
          <w:bCs/>
        </w:rPr>
        <w:t xml:space="preserve">Liquid+</w:t>
      </w:r>
      <w:r>
        <w:t xml:space="preserve"> exerce une activité d’apport d’affaires et de mise en relation entre investisseurs et startups sélectionnées. Le Bénéficiaire souhaite confier à </w:t>
      </w:r>
      <w:r>
        <w:rPr>
          <w:b/>
          <w:bCs/>
        </w:rPr>
        <w:t xml:space="preserve">Liquid+</w:t>
      </w:r>
      <w:r>
        <w:t xml:space="preserve"> une mission d’apport d’affaires consistant à lui présenter des contreparties en vue de la conclusion d’opérations d’investissement ou de cession.</w:t>
      </w:r>
    </w:p>
    <w:p>
      <w:pPr>
        <w:spacing w:after="120" w:line="276"/>
        <w:jc w:val="both"/>
      </w:pPr>
      <w:r>
        <w:t xml:space="preserve">Le présent contrat (le « Contrat ») a pour objet de définir les conditions de cette mission et la rémunération de l’Apporteur.</w:t>
      </w:r>
    </w:p>
    <w:p>
      <w:pPr>
        <w:spacing w:after="120" w:line="276"/>
        <w:jc w:val="both"/>
      </w:pPr>
      <w:r>
        <w:rPr>
          <w:b/>
          <w:bCs/>
        </w:rPr>
        <w:t xml:space="preserve">Ceci exposé, il a été convenu ce qui suit.</w:t>
      </w:r>
    </w:p>
    <w:p>
      <w:pPr>
        <w:pStyle w:val="Heading1"/>
      </w:pPr>
      <w:r>
        <w:t xml:space="preserve">Article 1 – Définitions</w:t>
      </w:r>
    </w:p>
    <w:p>
      <w:pPr>
        <w:spacing w:after="120" w:line="276"/>
        <w:jc w:val="both"/>
      </w:pPr>
      <w:r>
        <w:t xml:space="preserve">« Affaire Apportée » : toute opération (investissement primaire, souscription de BSA AIR, cession de titres) conclue par le Bénéficiaire avec un Client Apporté grâce à l’intermédiation de l’Apporteur. « Client Apporté » : toute contrepartie (investisseur ou startup) présentée par l’Apporteur au Bénéficiaire. « Commission » : la rémunération de l’Apporteur définie à l’Article 5. « Fiche d’Apport » : le document par lequel l’Apporteur formalise la présentation d’un Client Apporté (Annexe 2).</w:t>
      </w:r>
    </w:p>
    <w:p>
      <w:pPr>
        <w:pStyle w:val="Heading1"/>
      </w:pPr>
      <w:r>
        <w:t xml:space="preserve">Article 2 – Objet et nature de la mission</w:t>
      </w:r>
    </w:p>
    <w:p>
      <w:pPr>
        <w:spacing w:after="120" w:line="276"/>
        <w:jc w:val="both"/>
      </w:pPr>
      <w:r>
        <w:t xml:space="preserve">L’Apporteur s’engage à présenter au Bénéficiaire des Clients Apportés en vue de la conclusion d’Affaires Apportées. La mission est confiée à titre [non exclusif / exclusif] sur le périmètre suivant : [•].</w:t>
      </w:r>
    </w:p>
    <w:p>
      <w:pPr>
        <w:spacing w:after="120" w:line="276"/>
        <w:jc w:val="both"/>
      </w:pPr>
      <w:r>
        <w:t xml:space="preserve">L’Apporteur agit en qualité d’apporteur d’affaires indépendant. Il n’est ni mandataire, ni représentant du Bénéficiaire, ne dispose d’aucun pouvoir d’engager ce dernier, et ne conclut aucune opération en son nom. Il n’assume aucune obligation de résultat quant à la conclusion des Affaires Apportées.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C00000" w:sz="8"/>
              <w:left w:val="single" w:color="C00000" w:sz="8"/>
              <w:bottom w:val="single" w:color="C00000" w:sz="8"/>
              <w:right w:val="single" w:color="C00000" w:sz="8"/>
            </w:tcBorders>
            <w:shd w:fill="FDECEC" w:val="clear"/>
            <w:tcMar>
              <w:top w:type="dxa" w:w="140"/>
              <w:left w:type="dxa" w:w="200"/>
              <w:bottom w:type="dxa" w:w="140"/>
              <w:right w:type="dxa" w:w="200"/>
            </w:tcMar>
          </w:tcPr>
          <w:p>
            <w:pPr>
              <w:jc w:val="both"/>
            </w:pPr>
            <w:r>
              <w:rPr>
                <w:b/>
                <w:bCs/>
                <w:color w:val="C00000"/>
                <w:sz w:val="18"/>
                <w:szCs w:val="18"/>
              </w:rPr>
              <w:t xml:space="preserve">À VÉRIFIER – STATUT RÉGLEMENTAIRE : </w:t>
            </w:r>
            <w:r>
              <w:rPr>
                <w:color w:val="7A1515"/>
                <w:sz w:val="18"/>
                <w:szCs w:val="18"/>
              </w:rPr>
              <w:t xml:space="preserve">l’apport d’affaires portant sur des opérations financières (souscription, cession de titres) peut, selon son intensité et son organisation, relever d’un statut réglementé (notamment prestataire de services de financement participatif – PSFP, règlement (UE) 2020/1503, ou statuts d’intermédiation financière). Un simple contrat d’apport d’affaires ne suffit pas à écarter l’application de ces régimes. À arbitrer avec un avocat spécialisé avant toute mise en œuvre.</w:t>
            </w:r>
          </w:p>
        </w:tc>
      </w:tr>
    </w:tbl>
    <w:p>
      <w:pPr>
        <w:pStyle w:val="Heading1"/>
      </w:pPr>
      <w:r>
        <w:t xml:space="preserve">Article 3 – Modalités de l’apport</w:t>
      </w:r>
    </w:p>
    <w:p>
      <w:pPr>
        <w:pStyle w:val="ListParagraph"/>
        <w:numPr>
          <w:ilvl w:val="0"/>
          <w:numId w:val="2"/>
        </w:numPr>
        <w:spacing w:after="70" w:line="270"/>
        <w:jc w:val="both"/>
      </w:pPr>
      <w:r>
        <w:t xml:space="preserve">L’Apporteur formalise chaque présentation par une Fiche d’Apport identifiant le Client Apporté et l’opération envisagée, transmise au Bénéficiaire ;</w:t>
      </w:r>
    </w:p>
    <w:p>
      <w:pPr>
        <w:pStyle w:val="ListParagraph"/>
        <w:numPr>
          <w:ilvl w:val="0"/>
          <w:numId w:val="2"/>
        </w:numPr>
        <w:spacing w:after="70" w:line="270"/>
        <w:jc w:val="both"/>
      </w:pPr>
      <w:r>
        <w:t xml:space="preserve">Le Bénéficiaire accuse réception de la Fiche d’Apport et indique, dans un délai de [•] jours, s’il était déjà en relation d’affaires avec le Client Apporté ; à défaut, le Client est réputé nouvellement apporté ;</w:t>
      </w:r>
    </w:p>
    <w:p>
      <w:pPr>
        <w:pStyle w:val="ListParagraph"/>
        <w:numPr>
          <w:ilvl w:val="0"/>
          <w:numId w:val="2"/>
        </w:numPr>
        <w:spacing w:after="70" w:line="270"/>
        <w:jc w:val="both"/>
      </w:pPr>
      <w:r>
        <w:t xml:space="preserve">Le Bénéficiaire informe l’Apporteur de la conclusion de toute Affaire Apportée et de ses conditions (montant, date).</w:t>
      </w:r>
    </w:p>
    <w:p>
      <w:pPr>
        <w:pStyle w:val="Heading1"/>
      </w:pPr>
      <w:r>
        <w:t xml:space="preserve">Article 4 – Obligations du Bénéficiaire</w:t>
      </w:r>
    </w:p>
    <w:p>
      <w:pPr>
        <w:pStyle w:val="ListParagraph"/>
        <w:numPr>
          <w:ilvl w:val="0"/>
          <w:numId w:val="2"/>
        </w:numPr>
        <w:spacing w:after="70" w:line="270"/>
        <w:jc w:val="both"/>
      </w:pPr>
      <w:r>
        <w:t xml:space="preserve">Traiter de bonne foi les Clients Apportés et informer l’Apporteur de l’état d’avancement des Affaires ;</w:t>
      </w:r>
    </w:p>
    <w:p>
      <w:pPr>
        <w:pStyle w:val="ListParagraph"/>
        <w:numPr>
          <w:ilvl w:val="0"/>
          <w:numId w:val="2"/>
        </w:numPr>
        <w:spacing w:after="70" w:line="270"/>
        <w:jc w:val="both"/>
      </w:pPr>
      <w:r>
        <w:t xml:space="preserve">Communiquer les justificatifs permettant de calculer la Commission ;</w:t>
      </w:r>
    </w:p>
    <w:p>
      <w:pPr>
        <w:pStyle w:val="ListParagraph"/>
        <w:numPr>
          <w:ilvl w:val="0"/>
          <w:numId w:val="2"/>
        </w:numPr>
        <w:spacing w:after="70" w:line="270"/>
        <w:jc w:val="both"/>
      </w:pPr>
      <w:r>
        <w:t xml:space="preserve">Respecter la clause de non-contournement de l’Article 6.</w:t>
      </w:r>
    </w:p>
    <w:p>
      <w:pPr>
        <w:pStyle w:val="Heading1"/>
      </w:pPr>
      <w:r>
        <w:t xml:space="preserve">Article 5 – Rémunération de l’Apporteur</w:t>
      </w:r>
    </w:p>
    <w:p>
      <w:pPr>
        <w:spacing w:after="120" w:line="276"/>
        <w:jc w:val="both"/>
      </w:pPr>
      <w:r>
        <w:t xml:space="preserve">En contrepartie de son apport, l’Apporteur perçoit une Commission calculée sur le montant de chaque Affaire Apportée, selon la grille suivante :</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306"/>
        <w:gridCol w:w="4000"/>
      </w:tblGrid>
      <w:tr>
        <w:tc>
          <w:tcPr>
            <w:tcW w:type="dxa" w:w="530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b/>
                <w:bCs/>
                <w:color w:val="FFFFFF"/>
              </w:rPr>
              <w:t xml:space="preserve">Nature de l’Affaire Apportée</w:t>
            </w:r>
          </w:p>
        </w:tc>
        <w:tc>
          <w:tcPr>
            <w:tcW w:type="dxa" w:w="4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b/>
                <w:bCs/>
                <w:color w:val="FFFFFF"/>
              </w:rPr>
              <w:t xml:space="preserve">Commission (indicative)</w:t>
            </w:r>
          </w:p>
        </w:tc>
      </w:tr>
      <w:tr>
        <w:tc>
          <w:tcPr>
            <w:tcW w:type="dxa" w:w="5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color w:val="000000"/>
              </w:rPr>
              <w:t xml:space="preserve">Investissement primaire (souscription)</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color w:val="000000"/>
              </w:rPr>
              <w:t xml:space="preserve">[•] % du montant investi</w:t>
            </w:r>
          </w:p>
        </w:tc>
      </w:tr>
      <w:tr>
        <w:tc>
          <w:tcPr>
            <w:tcW w:type="dxa" w:w="5306"/>
            <w:tcBorders>
              <w:top w:val="single" w:color="BBBBBB" w:sz="1"/>
              <w:left w:val="single" w:color="BBBBBB" w:sz="1"/>
              <w:bottom w:val="single" w:color="BBBBBB" w:sz="1"/>
              <w:right w:val="single" w:color="BBBBBB" w:sz="1"/>
            </w:tcBorders>
            <w:shd w:fill="EDF1F7" w:val="clear"/>
            <w:tcMar>
              <w:top w:type="dxa" w:w="60"/>
              <w:left w:type="dxa" w:w="100"/>
              <w:bottom w:type="dxa" w:w="60"/>
              <w:right w:type="dxa" w:w="100"/>
            </w:tcMar>
            <w:vAlign w:val="center"/>
          </w:tcPr>
          <w:p>
            <w:pPr>
              <w:jc w:val="left"/>
            </w:pPr>
            <w:r>
              <w:rPr>
                <w:color w:val="000000"/>
              </w:rPr>
              <w:t xml:space="preserve">Souscription de BSA AIR</w:t>
            </w:r>
          </w:p>
        </w:tc>
        <w:tc>
          <w:tcPr>
            <w:tcW w:type="dxa" w:w="4000"/>
            <w:tcBorders>
              <w:top w:val="single" w:color="BBBBBB" w:sz="1"/>
              <w:left w:val="single" w:color="BBBBBB" w:sz="1"/>
              <w:bottom w:val="single" w:color="BBBBBB" w:sz="1"/>
              <w:right w:val="single" w:color="BBBBBB" w:sz="1"/>
            </w:tcBorders>
            <w:shd w:fill="EDF1F7" w:val="clear"/>
            <w:tcMar>
              <w:top w:type="dxa" w:w="60"/>
              <w:left w:type="dxa" w:w="100"/>
              <w:bottom w:type="dxa" w:w="60"/>
              <w:right w:type="dxa" w:w="100"/>
            </w:tcMar>
            <w:vAlign w:val="center"/>
          </w:tcPr>
          <w:p>
            <w:pPr>
              <w:jc w:val="left"/>
            </w:pPr>
            <w:r>
              <w:rPr>
                <w:color w:val="000000"/>
              </w:rPr>
              <w:t xml:space="preserve">[•] % du montant investi</w:t>
            </w:r>
          </w:p>
        </w:tc>
      </w:tr>
      <w:tr>
        <w:tc>
          <w:tcPr>
            <w:tcW w:type="dxa" w:w="5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color w:val="000000"/>
              </w:rPr>
              <w:t xml:space="preserve">Cession de titres (marché secondaire)</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color w:val="000000"/>
              </w:rPr>
              <w:t xml:space="preserve">[•] % du prix de cession</w:t>
            </w:r>
          </w:p>
        </w:tc>
      </w:tr>
    </w:tbl>
    <w:p>
      <w:pPr>
        <w:pStyle w:val="Heading3"/>
      </w:pPr>
      <w:r>
        <w:t xml:space="preserve">5.1 Fait générateur et exigibilité</w:t>
      </w:r>
    </w:p>
    <w:p>
      <w:pPr>
        <w:spacing w:after="120" w:line="276"/>
        <w:jc w:val="both"/>
      </w:pPr>
      <w:r>
        <w:t xml:space="preserve">La Commission est due à la conclusion définitive de l’Affaire Apportée (réalisation effective de l’opération et, le cas échéant, encaissement des fonds). Elle est facturée [HT, TVA en sus] et payable à [•] jours. Tout retard entraîne des pénalités au taux [•] et l’indemnité forfaitaire de recouvrement de 40 € (entre professionnels).</w:t>
      </w:r>
    </w:p>
    <w:p>
      <w:pPr>
        <w:pStyle w:val="Heading3"/>
      </w:pPr>
      <w:r>
        <w:t xml:space="preserve">5.2 Articulation avec le contrat de prestation de services</w:t>
      </w:r>
    </w:p>
    <w:p>
      <w:pPr>
        <w:spacing w:after="120" w:line="276"/>
        <w:jc w:val="both"/>
      </w:pPr>
      <w:r>
        <w:t xml:space="preserve">Les Parties veillent à éviter toute double facturation : la Commission d’apport d’affaires et la rémunération au titre du contrat de prestation de services conclu avec </w:t>
      </w:r>
      <w:r>
        <w:rPr>
          <w:b/>
          <w:bCs/>
        </w:rPr>
        <w:t xml:space="preserve">Liquid+</w:t>
      </w:r>
      <w:r>
        <w:t xml:space="preserve"> [se cumulent / ne se cumulent pas et sont alternatives], selon les modalités précisées en Annexe 1.</w:t>
      </w:r>
    </w:p>
    <w:p>
      <w:pPr>
        <w:pStyle w:val="Heading1"/>
      </w:pPr>
      <w:r>
        <w:t xml:space="preserve">Article 6 – Clause de non-contournement</w:t>
      </w:r>
    </w:p>
    <w:p>
      <w:pPr>
        <w:spacing w:after="120" w:line="276"/>
        <w:jc w:val="both"/>
      </w:pPr>
      <w:r>
        <w:t xml:space="preserve">Le Bénéficiaire s’interdit, pendant la durée du Contrat et pendant une période de [douze (12) / vingt-quatre (24)] mois suivant la présentation d’un Client Apporté, de conclure directement ou indirectement (y compris par l’intermédiaire d’un tiers ou d’une société liée) toute opération avec ce Client Apporté en éludant l’Apporteur ou en le privant de sa Commission. Toute opération conclue en violation de la présente clause ouvre droit à la Commission qui aurait été due, à titre de dommages-intérêts.</w:t>
      </w:r>
    </w:p>
    <w:p>
      <w:pPr>
        <w:pStyle w:val="Heading1"/>
      </w:pPr>
      <w:r>
        <w:t xml:space="preserve">Article 7 – Survie du droit à commission</w:t>
      </w:r>
    </w:p>
    <w:p>
      <w:pPr>
        <w:spacing w:after="120" w:line="276"/>
        <w:jc w:val="both"/>
      </w:pPr>
      <w:r>
        <w:t xml:space="preserve">Le droit à Commission subsiste pour toute Affaire Apportée conclue avec un Client Apporté dans un délai de [•] mois suivant la présentation de ce Client, y compris après l’expiration ou la résiliation du Contrat (clause de survie / « queue period »).</w:t>
      </w:r>
    </w:p>
    <w:p>
      <w:pPr>
        <w:pStyle w:val="Heading1"/>
      </w:pPr>
      <w:r>
        <w:t xml:space="preserve">Article 8 – Absence de conseil et de garantie</w:t>
      </w:r>
    </w:p>
    <w:p>
      <w:pPr>
        <w:spacing w:after="120" w:line="276"/>
        <w:jc w:val="both"/>
      </w:pPr>
      <w:r>
        <w:rPr>
          <w:b/>
          <w:bCs/>
        </w:rPr>
        <w:t xml:space="preserve">Liquid+</w:t>
      </w:r>
      <w:r>
        <w:t xml:space="preserve"> ne fournit aucun conseil en investissement, aucune recommandation personnalisée et ne garantit ni la conclusion des Affaires, ni la qualité ou la solvabilité des Clients Apportés, ni la performance des opérations. Chaque Partie demeure responsable de ses propres décisions.</w:t>
      </w:r>
    </w:p>
    <w:p>
      <w:pPr>
        <w:pStyle w:val="Heading1"/>
      </w:pPr>
      <w:r>
        <w:t xml:space="preserve">Article 9 – Responsabilité</w:t>
      </w:r>
    </w:p>
    <w:p>
      <w:pPr>
        <w:spacing w:after="120" w:line="276"/>
        <w:jc w:val="both"/>
      </w:pPr>
      <w:r>
        <w:t xml:space="preserve">La responsabilité de l’Apporteur est limitée aux dommages directs résultant d’un manquement à ses obligations et plafonnée au montant des Commissions perçues au titre de l’Affaire concernée, sauf faute lourde ou dolosive.</w:t>
      </w:r>
    </w:p>
    <w:p>
      <w:pPr>
        <w:pStyle w:val="Heading1"/>
      </w:pPr>
      <w:r>
        <w:t xml:space="preserve">Article 10 – Conformité et bonne conduite</w:t>
      </w:r>
    </w:p>
    <w:p>
      <w:pPr>
        <w:spacing w:after="120" w:line="276"/>
        <w:jc w:val="both"/>
      </w:pPr>
      <w:r>
        <w:t xml:space="preserve">Les Parties respectent la réglementation applicable, notamment en matière de lutte contre la corruption, de LCB-FT et de connaissance du client. L’Apporteur s’engage à obtenir et maintenir les éventuels agréments ou enregistrements requis par son activité.</w:t>
      </w:r>
    </w:p>
    <w:p>
      <w:pPr>
        <w:pStyle w:val="Heading1"/>
      </w:pPr>
      <w:r>
        <w:t xml:space="preserve">Article 11 – Confidentialité et non-sollicitation</w:t>
      </w:r>
    </w:p>
    <w:p>
      <w:pPr>
        <w:spacing w:after="120" w:line="276"/>
        <w:jc w:val="both"/>
      </w:pPr>
      <w:r>
        <w:t xml:space="preserve">Les Parties maintiennent confidentielles les informations échangées et l’identité des Clients Apportés, pendant la durée du Contrat et [2] ans après son terme. [Le cas échéant : le Bénéficiaire s’interdit de solliciter directement les Clients Apportés en dehors du cadre du Contrat.]</w:t>
      </w:r>
    </w:p>
    <w:p>
      <w:pPr>
        <w:pStyle w:val="Heading1"/>
      </w:pPr>
      <w:r>
        <w:t xml:space="preserve">Article 12 – Durée et résiliation</w:t>
      </w:r>
    </w:p>
    <w:p>
      <w:pPr>
        <w:spacing w:after="120" w:line="276"/>
        <w:jc w:val="both"/>
      </w:pPr>
      <w:r>
        <w:t xml:space="preserve">Le Contrat est conclu pour une durée de [•] [renouvelable]. Chaque Partie peut y mettre fin moyennant un préavis de [•], par notification écrite. La résiliation ne porte pas atteinte au droit à Commission né ou à naître au titre des Articles 6 et 7.</w:t>
      </w:r>
    </w:p>
    <w:p>
      <w:pPr>
        <w:pStyle w:val="Heading1"/>
      </w:pPr>
      <w:r>
        <w:t xml:space="preserve">Article 13 – Stipulations diverses</w:t>
      </w:r>
    </w:p>
    <w:p>
      <w:pPr>
        <w:pStyle w:val="ListParagraph"/>
        <w:numPr>
          <w:ilvl w:val="0"/>
          <w:numId w:val="2"/>
        </w:numPr>
        <w:spacing w:after="70" w:line="270"/>
        <w:jc w:val="both"/>
      </w:pPr>
      <w:r>
        <w:t xml:space="preserve">Indépendance : les Parties sont indépendantes ; le Contrat ne crée ni société, ni mandat, ni lien de subordination.</w:t>
      </w:r>
    </w:p>
    <w:p>
      <w:pPr>
        <w:pStyle w:val="ListParagraph"/>
        <w:numPr>
          <w:ilvl w:val="0"/>
          <w:numId w:val="2"/>
        </w:numPr>
        <w:spacing w:after="70" w:line="270"/>
        <w:jc w:val="both"/>
      </w:pPr>
      <w:r>
        <w:t xml:space="preserve">Intégralité et nullité partielle : le Contrat exprime l’intégralité de l’accord ; l’invalidité d’une clause n’affecte pas les autres.</w:t>
      </w:r>
    </w:p>
    <w:p>
      <w:pPr>
        <w:pStyle w:val="ListParagraph"/>
        <w:numPr>
          <w:ilvl w:val="0"/>
          <w:numId w:val="2"/>
        </w:numPr>
        <w:spacing w:after="70" w:line="270"/>
        <w:jc w:val="both"/>
      </w:pPr>
      <w:r>
        <w:t xml:space="preserve">Cession : le Contrat ne peut être cédé sans l’accord préalable de l’autre Partie.</w:t>
      </w:r>
    </w:p>
    <w:p>
      <w:pPr>
        <w:pStyle w:val="ListParagraph"/>
        <w:numPr>
          <w:ilvl w:val="0"/>
          <w:numId w:val="2"/>
        </w:numPr>
        <w:spacing w:after="70" w:line="270"/>
        <w:jc w:val="both"/>
      </w:pPr>
      <w:r>
        <w:t xml:space="preserve">Notifications : par écrit (courrier ou voie électronique avec accusé de réception).</w:t>
      </w:r>
    </w:p>
    <w:p>
      <w:pPr>
        <w:pStyle w:val="Heading1"/>
      </w:pPr>
      <w:r>
        <w:t xml:space="preserve">Article 14 – Droit applicable et juridiction</w:t>
      </w:r>
    </w:p>
    <w:p>
      <w:pPr>
        <w:spacing w:after="120" w:line="276"/>
        <w:jc w:val="both"/>
      </w:pPr>
      <w:r>
        <w:t xml:space="preserve">Le Contrat est régi par le droit français. À défaut de règlement amiable, tout différend sera soumis [à la compétence exclusive du Tribunal de commerce de Paris / à l’arbitrage selon le règlement [•]].</w:t>
      </w:r>
    </w:p>
    <w:p>
      <w:r>
        <w:br w:type="page"/>
      </w:r>
    </w:p>
    <w:p>
      <w:pPr>
        <w:pStyle w:val="Heading1"/>
      </w:pPr>
      <w:r>
        <w:t xml:space="preserve">Signatures</w:t>
      </w:r>
    </w:p>
    <w:p>
      <w:pPr>
        <w:spacing w:after="120" w:line="276"/>
        <w:jc w:val="both"/>
      </w:pPr>
      <w:r>
        <w:t xml:space="preserve">Fait à [•], le [•], en deux exemplaires originaux [ou par voie de signature électronique conforme au règlement eIDAS].</w:t>
      </w:r>
    </w:p>
    <w:p>
      <w:pPr>
        <w:spacing w:after="360" w:before="400"/>
      </w:pPr>
      <w:r>
        <w:rPr>
          <w:b/>
          <w:bCs/>
        </w:rPr>
        <w:t xml:space="preserve">Pour Liquid+ (l’Apporteur) :</w:t>
      </w:r>
    </w:p>
    <w:p>
      <w:r>
        <w:rPr>
          <w:color w:val="888888"/>
        </w:rPr>
        <w:t xml:space="preserve">_______________________________</w:t>
      </w:r>
    </w:p>
    <w:p>
      <w:pPr>
        <w:spacing w:after="120"/>
      </w:pPr>
      <w:r>
        <w:rPr>
          <w:color w:val="555555"/>
        </w:rPr>
        <w:t xml:space="preserve">[Nom – qualité]</w:t>
      </w:r>
    </w:p>
    <w:p>
      <w:pPr>
        <w:spacing w:after="360" w:before="400"/>
      </w:pPr>
      <w:r>
        <w:rPr>
          <w:b/>
          <w:bCs/>
        </w:rPr>
        <w:t xml:space="preserve">Pour le Bénéficiaire :</w:t>
      </w:r>
    </w:p>
    <w:p>
      <w:r>
        <w:rPr>
          <w:color w:val="888888"/>
        </w:rPr>
        <w:t xml:space="preserve">_______________________________</w:t>
      </w:r>
    </w:p>
    <w:p>
      <w:pPr>
        <w:spacing w:after="120"/>
      </w:pPr>
      <w:r>
        <w:rPr>
          <w:color w:val="555555"/>
        </w:rPr>
        <w:t xml:space="preserve">[Nom – qualité]</w:t>
      </w:r>
    </w:p>
    <w:p>
      <w:r>
        <w:br w:type="page"/>
      </w:r>
    </w:p>
    <w:p>
      <w:pPr>
        <w:pStyle w:val="Heading1"/>
      </w:pPr>
      <w:r>
        <w:t xml:space="preserve">Annexes</w:t>
      </w:r>
    </w:p>
    <w:p>
      <w:pPr>
        <w:pStyle w:val="ListParagraph"/>
        <w:numPr>
          <w:ilvl w:val="0"/>
          <w:numId w:val="2"/>
        </w:numPr>
        <w:spacing w:after="70" w:line="270"/>
        <w:jc w:val="both"/>
      </w:pPr>
      <w:r>
        <w:t xml:space="preserve">Annexe 1 – Grille de commissions et règles d’articulation avec le contrat de prestation de services.</w:t>
      </w:r>
    </w:p>
    <w:p>
      <w:pPr>
        <w:pStyle w:val="ListParagraph"/>
        <w:numPr>
          <w:ilvl w:val="0"/>
          <w:numId w:val="2"/>
        </w:numPr>
        <w:spacing w:after="70" w:line="270"/>
        <w:jc w:val="both"/>
      </w:pPr>
      <w:r>
        <w:t xml:space="preserve">Annexe 2 – Modèle de Fiche d’Apport.</w:t>
      </w:r>
    </w:p>
    <w:p>
      <w:pPr>
        <w:pStyle w:val="ListParagraph"/>
        <w:numPr>
          <w:ilvl w:val="0"/>
          <w:numId w:val="2"/>
        </w:numPr>
        <w:spacing w:after="70" w:line="270"/>
        <w:jc w:val="both"/>
      </w:pPr>
      <w:r>
        <w:t xml:space="preserve">Annexe 3 – Liste initiale des Clients Apportés (le cas échéant).</w:t>
      </w:r>
    </w:p>
    <w:p>
      <w:pPr>
        <w:pBdr>
          <w:top w:val="single" w:color="C00000" w:sz="4" w:space="6"/>
        </w:pBdr>
        <w:spacing w:before="300"/>
      </w:pPr>
      <w:r>
        <w:rPr>
          <w:b/>
          <w:bCs/>
          <w:color w:val="C00000"/>
          <w:sz w:val="18"/>
          <w:szCs w:val="18"/>
        </w:rPr>
        <w:t xml:space="preserve">Note de rédaction (à supprimer avant diffusion) : </w:t>
      </w:r>
      <w:r>
        <w:rPr>
          <w:i/>
          <w:iCs/>
          <w:color w:val="C00000"/>
          <w:sz w:val="18"/>
          <w:szCs w:val="18"/>
        </w:rPr>
        <w:t xml:space="preserve">identifier clairement qui est le Bénéficiaire (startup ou investisseur) et qui paie la Commission, et assurer l’articulation avec le contrat de prestation de services pour éviter toute double facturation (Article 5.2). La clause de non-contournement (Article 6) doit être proportionnée dans sa durée et son périmètre pour être valable. Attention au statut réglementaire : un contrat d’apport d’affaires ne dispense pas des agréments éventuellement requis. À relire par un avocat.</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06"/>
      </w:tabs>
    </w:pPr>
    <w:r>
      <w:rPr>
        <w:b/>
        <w:bCs/>
        <w:color w:val="1F3864"/>
        <w:sz w:val="16"/>
        <w:szCs w:val="16"/>
      </w:rPr>
      <w:t xml:space="preserve">Contrat d’apport d’affaires</w:t>
    </w:r>
    <w:r>
      <w:rPr>
        <w:b/>
        <w:bCs/>
        <w:color w:val="1F3864"/>
        <w:sz w:val="16"/>
        <w:szCs w:val="16"/>
      </w:rPr>
      <w:t xml:space="preserve">	Liquid+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25"/>
      <w:szCs w:val="25"/>
    </w:rPr>
  </w:style>
  <w:style w:type="paragraph" w:styleId="Heading2">
    <w:name w:val="Heading 2"/>
    <w:basedOn w:val="Normal"/>
    <w:next w:val="Normal"/>
    <w:qFormat/>
    <w:pPr>
      <w:spacing w:after="100" w:before="200"/>
      <w:outlineLvl w:val="1"/>
    </w:pPr>
    <w:rPr>
      <w:rFonts w:ascii="Arial" w:cs="Arial" w:eastAsia="Arial" w:hAnsi="Arial"/>
      <w:b/>
      <w:bCs/>
      <w:color w:val="2E4A7A"/>
      <w:sz w:val="22"/>
      <w:szCs w:val="22"/>
    </w:rPr>
  </w:style>
  <w:style w:type="paragraph" w:styleId="Heading3">
    <w:name w:val="Heading 3"/>
    <w:basedOn w:val="Normal"/>
    <w:next w:val="Normal"/>
    <w:qFormat/>
    <w:pPr>
      <w:spacing w:after="60" w:before="120"/>
      <w:outlineLvl w:val="2"/>
    </w:pPr>
    <w:rPr>
      <w:rFonts w:ascii="Arial" w:cs="Arial" w:eastAsia="Arial" w:hAnsi="Arial"/>
      <w:b/>
      <w:bCs/>
      <w:i/>
      <w:i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d'apport d'affaires Liquid+</dc:title>
  <dc:creator>Contrat d'apport d'affaires</dc:creator>
  <cp:lastModifiedBy>Un-named</cp:lastModifiedBy>
  <cp:revision>1</cp:revision>
  <dcterms:created xsi:type="dcterms:W3CDTF">2026-06-11T08:46:46.663Z</dcterms:created>
  <dcterms:modified xsi:type="dcterms:W3CDTF">2026-06-11T08:46:46.678Z</dcterms:modified>
</cp:coreProperties>
</file>

<file path=docProps/custom.xml><?xml version="1.0" encoding="utf-8"?>
<Properties xmlns="http://schemas.openxmlformats.org/officeDocument/2006/custom-properties" xmlns:vt="http://schemas.openxmlformats.org/officeDocument/2006/docPropsVTypes"/>
</file>