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color w:val="1F3864"/>
          <w:sz w:val="40"/>
          <w:szCs w:val="40"/>
        </w:rPr>
        <w:t xml:space="preserve">CONTRAT DE PRESTATION</w:t>
      </w:r>
    </w:p>
    <w:p>
      <w:pPr>
        <w:spacing w:after="60"/>
        <w:jc w:val="center"/>
      </w:pPr>
      <w:r>
        <w:rPr>
          <w:b/>
          <w:bCs/>
          <w:color w:val="1F3864"/>
          <w:sz w:val="40"/>
          <w:szCs w:val="40"/>
        </w:rPr>
        <w:t xml:space="preserve">DE SERVICES</w:t>
      </w:r>
    </w:p>
    <w:p>
      <w:pPr>
        <w:spacing w:after="900"/>
        <w:jc w:val="center"/>
      </w:pPr>
      <w:r>
        <w:rPr>
          <w:i/>
          <w:iCs/>
          <w:color w:val="555555"/>
          <w:sz w:val="24"/>
          <w:szCs w:val="24"/>
        </w:rPr>
        <w:t xml:space="preserve">Services de la plateforme Liquid+</w:t>
      </w:r>
    </w:p>
    <w:p>
      <w:pPr>
        <w:spacing w:after="40"/>
        <w:jc w:val="center"/>
      </w:pPr>
      <w:r>
        <w:rPr>
          <w:sz w:val="22"/>
          <w:szCs w:val="22"/>
        </w:rPr>
        <w:t xml:space="preserve">entre</w:t>
      </w:r>
    </w:p>
    <w:p>
      <w:pPr>
        <w:spacing w:after="40"/>
        <w:jc w:val="center"/>
      </w:pPr>
      <w:r>
        <w:rPr>
          <w:b/>
          <w:bCs/>
          <w:color w:val="1F3864"/>
          <w:sz w:val="30"/>
          <w:szCs w:val="30"/>
        </w:rPr>
        <w:t xml:space="preserve">Liquid+</w:t>
      </w:r>
    </w:p>
    <w:p>
      <w:pPr>
        <w:spacing w:after="900"/>
        <w:jc w:val="center"/>
      </w:pPr>
      <w:r>
        <w:rPr>
          <w:color w:val="555555"/>
          <w:sz w:val="22"/>
          <w:szCs w:val="22"/>
        </w:rPr>
        <w:t xml:space="preserve">et le Client</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Le Prestataire – </w:t>
      </w:r>
      <w:r>
        <w:rPr>
          <w:b/>
          <w:bCs/>
        </w:rPr>
        <w:t xml:space="preserve">Liquid+</w:t>
      </w:r>
      <w:r>
        <w:t xml:space="preserve">, </w:t>
      </w:r>
      <w:r>
        <w:rPr>
          <w:b/>
          <w:bCs/>
          <w:color w:val="C00000"/>
        </w:rPr>
        <w:t xml:space="preserve">[FORME SOCIALE]</w:t>
      </w:r>
      <w:r>
        <w:t xml:space="preserve"> au capital de </w:t>
      </w:r>
      <w:r>
        <w:rPr>
          <w:b/>
          <w:bCs/>
          <w:color w:val="C00000"/>
        </w:rPr>
        <w:t xml:space="preserve">[•] €</w:t>
      </w:r>
      <w:r>
        <w:t xml:space="preserve">, siège social </w:t>
      </w:r>
      <w:r>
        <w:rPr>
          <w:b/>
          <w:bCs/>
          <w:color w:val="C00000"/>
        </w:rPr>
        <w:t xml:space="preserve">[ADRESSE]</w:t>
      </w:r>
      <w:r>
        <w:t xml:space="preserve">, RCS de </w:t>
      </w:r>
      <w:r>
        <w:rPr>
          <w:b/>
          <w:bCs/>
          <w:color w:val="C00000"/>
        </w:rPr>
        <w:t xml:space="preserve">[•]</w:t>
      </w:r>
      <w:r>
        <w:t xml:space="preserve">, représentée par </w:t>
      </w:r>
      <w:r>
        <w:rPr>
          <w:b/>
          <w:bCs/>
          <w:color w:val="C00000"/>
        </w:rPr>
        <w:t xml:space="preserve">[•]</w:t>
      </w:r>
      <w:r>
        <w:t xml:space="preserve">,</w:t>
      </w:r>
    </w:p>
    <w:p>
      <w:pPr>
        <w:spacing w:after="120" w:line="276"/>
        <w:jc w:val="both"/>
      </w:pPr>
      <w:r>
        <w:t xml:space="preserve">ci-après « </w:t>
      </w:r>
      <w:r>
        <w:rPr>
          <w:b/>
          <w:bCs/>
        </w:rPr>
        <w:t xml:space="preserve">Liquid+</w:t>
      </w:r>
      <w:r>
        <w:t xml:space="preserve"> » ou le « Prestataire »,</w:t>
      </w:r>
    </w:p>
    <w:p>
      <w:pPr>
        <w:spacing w:after="120" w:line="276"/>
        <w:jc w:val="both"/>
      </w:pPr>
      <w:r>
        <w:rPr>
          <w:b/>
          <w:bCs/>
        </w:rPr>
        <w:t xml:space="preserve">2. Le Client – </w:t>
      </w:r>
      <w:r>
        <w:rPr>
          <w:b/>
          <w:bCs/>
          <w:color w:val="C00000"/>
        </w:rPr>
        <w:t xml:space="preserve">[IDENTITÉ DE L’INVESTISSEUR / LE CAS ÉCHÉANT DE LA STARTUP]</w:t>
      </w:r>
      <w:r>
        <w:t xml:space="preserve">,</w:t>
      </w:r>
    </w:p>
    <w:p>
      <w:pPr>
        <w:spacing w:after="120" w:line="276"/>
        <w:jc w:val="both"/>
      </w:pPr>
      <w:r>
        <w:t xml:space="preserve">ci-après le « Client ». Ensemble les « Parties ».</w:t>
      </w:r>
    </w:p>
    <w:p>
      <w:pPr>
        <w:pStyle w:val="Heading1"/>
      </w:pPr>
      <w:r>
        <w:t xml:space="preserve">Préambule</w:t>
      </w:r>
    </w:p>
    <w:p>
      <w:pPr>
        <w:spacing w:after="120" w:line="276"/>
        <w:jc w:val="both"/>
      </w:pPr>
      <w:r>
        <w:rPr>
          <w:b/>
          <w:bCs/>
        </w:rPr>
        <w:t xml:space="preserve">Liquid+</w:t>
      </w:r>
      <w:r>
        <w:t xml:space="preserve"> exploite une plateforme de mise en relation entre investisseurs et startups préalablement sélectionnées, principalement sur le marché parisien. </w:t>
      </w:r>
      <w:r>
        <w:rPr>
          <w:b/>
          <w:bCs/>
        </w:rPr>
        <w:t xml:space="preserve">Liquid+</w:t>
      </w:r>
      <w:r>
        <w:t xml:space="preserve"> propose des services d’analyse, de coordination et de suivi destinés à faciliter la réalisation et le suivi d’investissements, sans se substituer à la décision d’investissement du Client.</w:t>
      </w:r>
    </w:p>
    <w:p>
      <w:pPr>
        <w:spacing w:after="120" w:line="276"/>
        <w:jc w:val="both"/>
      </w:pPr>
      <w:r>
        <w:t xml:space="preserve">Le Client souhaite bénéficier de ces services dans les conditions définies au présent contrat (le « Contrat »).</w:t>
      </w:r>
    </w:p>
    <w:p>
      <w:pPr>
        <w:spacing w:after="120" w:line="276"/>
        <w:jc w:val="both"/>
      </w:pPr>
      <w:r>
        <w:rPr>
          <w:b/>
          <w:bCs/>
        </w:rPr>
        <w:t xml:space="preserve">Ceci exposé, il a été convenu ce qui suit.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C00000" w:sz="8"/>
              <w:left w:val="single" w:color="C00000" w:sz="8"/>
              <w:bottom w:val="single" w:color="C00000" w:sz="8"/>
              <w:right w:val="single" w:color="C00000" w:sz="8"/>
            </w:tcBorders>
            <w:shd w:fill="FDECEC" w:val="clear"/>
            <w:tcMar>
              <w:top w:type="dxa" w:w="140"/>
              <w:left w:type="dxa" w:w="200"/>
              <w:bottom w:type="dxa" w:w="140"/>
              <w:right w:type="dxa" w:w="200"/>
            </w:tcMar>
          </w:tcPr>
          <w:p>
            <w:pPr>
              <w:spacing w:after="80"/>
            </w:pPr>
            <w:r>
              <w:rPr>
                <w:b/>
                <w:bCs/>
                <w:color w:val="C00000"/>
                <w:sz w:val="20"/>
                <w:szCs w:val="20"/>
              </w:rPr>
              <w:t xml:space="preserve">AVERTISSEMENT IMPORTANT</w:t>
            </w:r>
          </w:p>
          <w:p>
            <w:pPr>
              <w:jc w:val="both"/>
            </w:pPr>
            <w:r>
              <w:rPr>
                <w:color w:val="7A1515"/>
                <w:sz w:val="18"/>
                <w:szCs w:val="18"/>
              </w:rPr>
              <w:t xml:space="preserve">Liquid+ ne fournit pas de conseil en investissement, ne formule aucune recommandation personnalisée et ne garantit aucune performance. L’investissement dans des startups non cotées présente un risque élevé, pouvant aller jusqu’à la perte totale du capital investi, et un risque d’illiquidité. Le Client investit en pleine connaissance de cause et sous sa seule responsabilité.</w:t>
            </w:r>
          </w:p>
        </w:tc>
      </w:tr>
    </w:tbl>
    <w:p>
      <w:pPr>
        <w:pStyle w:val="Heading1"/>
      </w:pPr>
      <w:r>
        <w:t xml:space="preserve">Article 1 – Définitions</w:t>
      </w:r>
    </w:p>
    <w:p>
      <w:pPr>
        <w:spacing w:after="120" w:line="276"/>
        <w:jc w:val="both"/>
      </w:pPr>
      <w:r>
        <w:t xml:space="preserve">« Plateforme » : l’ensemble des outils et services numériques exploités par Liquid+. « Startup Sélectionnée » : une société référencée par Liquid+ après sélection. « Transaction » : toute opération d’investissement ou de cession réalisée par l’intermédiaire de la Plateforme. « Commission » : la rémunération de Liquid+ selon la grille figurant en Annexe 1.</w:t>
      </w:r>
    </w:p>
    <w:p>
      <w:pPr>
        <w:pStyle w:val="Heading1"/>
      </w:pPr>
      <w:r>
        <w:t xml:space="preserve">Article 2 – Objet</w:t>
      </w:r>
    </w:p>
    <w:p>
      <w:pPr>
        <w:spacing w:after="120" w:line="276"/>
        <w:jc w:val="both"/>
      </w:pPr>
      <w:r>
        <w:t xml:space="preserve">Le Contrat a pour objet de définir les conditions dans lesquelles Liquid+ fournit au Client les services décrits à l’Article 3, ainsi que les conditions de rémunération de Liquid+.</w:t>
      </w:r>
    </w:p>
    <w:p>
      <w:pPr>
        <w:pStyle w:val="Heading1"/>
      </w:pPr>
      <w:r>
        <w:t xml:space="preserve">Article 3 – Description des services</w:t>
      </w:r>
    </w:p>
    <w:p>
      <w:pPr>
        <w:spacing w:after="120" w:line="276"/>
        <w:jc w:val="both"/>
      </w:pPr>
      <w:r>
        <w:t xml:space="preserve">Liquid+ fournit au Client tout ou partie des services suivants, selon la formule souscrite :</w:t>
      </w:r>
    </w:p>
    <w:p>
      <w:pPr>
        <w:pStyle w:val="ListParagraph"/>
        <w:numPr>
          <w:ilvl w:val="0"/>
          <w:numId w:val="2"/>
        </w:numPr>
        <w:spacing w:after="70" w:line="270"/>
        <w:jc w:val="both"/>
      </w:pPr>
      <w:r>
        <w:t xml:space="preserve">Sélection et référencement de Startups Sélectionnées (sourcing), principalement sur le marché parisien ;</w:t>
      </w:r>
    </w:p>
    <w:p>
      <w:pPr>
        <w:pStyle w:val="ListParagraph"/>
        <w:numPr>
          <w:ilvl w:val="0"/>
          <w:numId w:val="2"/>
        </w:numPr>
        <w:spacing w:after="70" w:line="270"/>
        <w:jc w:val="both"/>
      </w:pPr>
      <w:r>
        <w:t xml:space="preserve">Réalisation d’audits de startups (juridique, financier, marché) et d’analyses du marché des startups, communiqués à titre informatif ;</w:t>
      </w:r>
    </w:p>
    <w:p>
      <w:pPr>
        <w:pStyle w:val="ListParagraph"/>
        <w:numPr>
          <w:ilvl w:val="0"/>
          <w:numId w:val="2"/>
        </w:numPr>
        <w:spacing w:after="70" w:line="270"/>
        <w:jc w:val="both"/>
      </w:pPr>
      <w:r>
        <w:t xml:space="preserve">Mise en relation et coordination de l’opération entre le Client et la Startup Sélectionnée ;</w:t>
      </w:r>
    </w:p>
    <w:p>
      <w:pPr>
        <w:pStyle w:val="ListParagraph"/>
        <w:numPr>
          <w:ilvl w:val="0"/>
          <w:numId w:val="2"/>
        </w:numPr>
        <w:spacing w:after="70" w:line="270"/>
        <w:jc w:val="both"/>
      </w:pPr>
      <w:r>
        <w:t xml:space="preserve">Centralisation et transmission des questions du Client à la Startup Sélectionnée, et inversement ;</w:t>
      </w:r>
    </w:p>
    <w:p>
      <w:pPr>
        <w:pStyle w:val="ListParagraph"/>
        <w:numPr>
          <w:ilvl w:val="0"/>
          <w:numId w:val="2"/>
        </w:numPr>
        <w:spacing w:after="70" w:line="270"/>
        <w:jc w:val="both"/>
      </w:pPr>
      <w:r>
        <w:t xml:space="preserve">Coordination de la documentation juridique (organisation de la signature, suivi des conditions) ;</w:t>
      </w:r>
    </w:p>
    <w:p>
      <w:pPr>
        <w:pStyle w:val="ListParagraph"/>
        <w:numPr>
          <w:ilvl w:val="0"/>
          <w:numId w:val="2"/>
        </w:numPr>
        <w:spacing w:after="70" w:line="270"/>
        <w:jc w:val="both"/>
      </w:pPr>
      <w:r>
        <w:t xml:space="preserve">Mise à disposition d’un outil de suivi des investissements (tracking) ;</w:t>
      </w:r>
    </w:p>
    <w:p>
      <w:pPr>
        <w:pStyle w:val="ListParagraph"/>
        <w:numPr>
          <w:ilvl w:val="0"/>
          <w:numId w:val="2"/>
        </w:numPr>
        <w:spacing w:after="70" w:line="270"/>
        <w:jc w:val="both"/>
      </w:pPr>
      <w:r>
        <w:t xml:space="preserve">[Le cas échéant] Facilitation de la mise en relation sur le marché secondaire entre investisseurs souhaitant céder ou acquérir des titres de Startups Sélectionnées.</w:t>
      </w:r>
    </w:p>
    <w:p>
      <w:pPr>
        <w:spacing w:after="120" w:line="276"/>
        <w:jc w:val="both"/>
      </w:pPr>
      <w:r>
        <w:t xml:space="preserve">Les audits et analyses sont établis sur la base des informations disponibles à leur date ; ils ne constituent ni une garantie, ni un conseil en investissement, ni une recommandation.</w:t>
      </w:r>
    </w:p>
    <w:p>
      <w:pPr>
        <w:pStyle w:val="Heading1"/>
      </w:pPr>
      <w:r>
        <w:t xml:space="preserve">Article 4 – Modalités d’exécution</w:t>
      </w:r>
    </w:p>
    <w:p>
      <w:pPr>
        <w:spacing w:after="120" w:line="276"/>
        <w:jc w:val="both"/>
      </w:pPr>
      <w:r>
        <w:t xml:space="preserve">Liquid+ exécute ses services dans le cadre d’une obligation de moyens. Liquid+ organise librement ses prestations et peut recourir à des sous-traitants ou partenaires, sous sa responsabilité. Le Client fournit à Liquid+ les informations et documents nécessaires à l’exécution des services et répond aux demandes dans des délais raisonnables.</w:t>
      </w:r>
    </w:p>
    <w:p>
      <w:pPr>
        <w:pStyle w:val="Heading1"/>
      </w:pPr>
      <w:r>
        <w:t xml:space="preserve">Article 5 – Obligations du Client</w:t>
      </w:r>
    </w:p>
    <w:p>
      <w:pPr>
        <w:pStyle w:val="ListParagraph"/>
        <w:numPr>
          <w:ilvl w:val="0"/>
          <w:numId w:val="2"/>
        </w:numPr>
        <w:spacing w:after="70" w:line="270"/>
        <w:jc w:val="both"/>
      </w:pPr>
      <w:r>
        <w:t xml:space="preserve">Communiquer des informations exactes et complètes, notamment aux fins des obligations de connaissance du client (KYC) et de lutte contre le blanchiment (LCB-FT) ;</w:t>
      </w:r>
    </w:p>
    <w:p>
      <w:pPr>
        <w:pStyle w:val="ListParagraph"/>
        <w:numPr>
          <w:ilvl w:val="0"/>
          <w:numId w:val="2"/>
        </w:numPr>
        <w:spacing w:after="70" w:line="270"/>
        <w:jc w:val="both"/>
      </w:pPr>
      <w:r>
        <w:t xml:space="preserve">Prendre seul ses décisions d’investissement et en supporter les conséquences ;</w:t>
      </w:r>
    </w:p>
    <w:p>
      <w:pPr>
        <w:pStyle w:val="ListParagraph"/>
        <w:numPr>
          <w:ilvl w:val="0"/>
          <w:numId w:val="2"/>
        </w:numPr>
        <w:spacing w:after="70" w:line="270"/>
        <w:jc w:val="both"/>
      </w:pPr>
      <w:r>
        <w:t xml:space="preserve">Régler les Commissions dues conformément à l’Article 6 ;</w:t>
      </w:r>
    </w:p>
    <w:p>
      <w:pPr>
        <w:pStyle w:val="ListParagraph"/>
        <w:numPr>
          <w:ilvl w:val="0"/>
          <w:numId w:val="2"/>
        </w:numPr>
        <w:spacing w:after="70" w:line="270"/>
        <w:jc w:val="both"/>
      </w:pPr>
      <w:r>
        <w:t xml:space="preserve">Ne pas contourner Liquid+ pour les Transactions réalisées grâce à son intermédiation, conformément au contrat d’apport d’affaires applicable, le cas échéant.</w:t>
      </w:r>
    </w:p>
    <w:p>
      <w:pPr>
        <w:pStyle w:val="Heading1"/>
      </w:pPr>
      <w:r>
        <w:t xml:space="preserve">Article 6 – Rémunération – Grille de commissions</w:t>
      </w:r>
    </w:p>
    <w:p>
      <w:pPr>
        <w:spacing w:after="120" w:line="276"/>
        <w:jc w:val="both"/>
      </w:pPr>
      <w:r>
        <w:t xml:space="preserve">En contrepartie des services, le Client verse à Liquid+ une Commission, facturée directement par Liquid+ et payée directement sur son compte, selon la grille figurant en Annexe 1. À titre indicatif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306"/>
        <w:gridCol w:w="4000"/>
      </w:tblGrid>
      <w:tr>
        <w:tc>
          <w:tcPr>
            <w:tcW w:type="dxa" w:w="530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Type de Transaction</w:t>
            </w:r>
          </w:p>
        </w:tc>
        <w:tc>
          <w:tcPr>
            <w:tcW w:type="dxa" w:w="4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b/>
                <w:bCs/>
                <w:color w:val="FFFFFF"/>
              </w:rPr>
              <w:t xml:space="preserve">Commission (indicative)</w:t>
            </w:r>
          </w:p>
        </w:tc>
      </w:tr>
      <w:tr>
        <w:tc>
          <w:tcPr>
            <w:tcW w:type="dxa" w:w="5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Investissement primaire (souscription)</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 % du montant investi</w:t>
            </w:r>
          </w:p>
        </w:tc>
      </w:tr>
      <w:tr>
        <w:tc>
          <w:tcPr>
            <w:tcW w:type="dxa" w:w="5306"/>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Investissement via BSA AIR</w:t>
            </w:r>
          </w:p>
        </w:tc>
        <w:tc>
          <w:tcPr>
            <w:tcW w:type="dxa" w:w="4000"/>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 % du montant investi</w:t>
            </w:r>
          </w:p>
        </w:tc>
      </w:tr>
      <w:tr>
        <w:tc>
          <w:tcPr>
            <w:tcW w:type="dxa" w:w="5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Cession sur le marché secondaire (côté vendeur)</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 % du prix de cession</w:t>
            </w:r>
          </w:p>
        </w:tc>
      </w:tr>
      <w:tr>
        <w:tc>
          <w:tcPr>
            <w:tcW w:type="dxa" w:w="5306"/>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Achat sur le marché secondaire</w:t>
            </w:r>
          </w:p>
        </w:tc>
        <w:tc>
          <w:tcPr>
            <w:tcW w:type="dxa" w:w="4000"/>
            <w:tcBorders>
              <w:top w:val="single" w:color="BBBBBB" w:sz="1"/>
              <w:left w:val="single" w:color="BBBBBB" w:sz="1"/>
              <w:bottom w:val="single" w:color="BBBBBB" w:sz="1"/>
              <w:right w:val="single" w:color="BBBBBB" w:sz="1"/>
            </w:tcBorders>
            <w:shd w:fill="EDF1F7" w:val="clear"/>
            <w:tcMar>
              <w:top w:type="dxa" w:w="60"/>
              <w:left w:type="dxa" w:w="100"/>
              <w:bottom w:type="dxa" w:w="60"/>
              <w:right w:type="dxa" w:w="100"/>
            </w:tcMar>
            <w:vAlign w:val="center"/>
          </w:tcPr>
          <w:p>
            <w:pPr>
              <w:jc w:val="left"/>
            </w:pPr>
            <w:r>
              <w:rPr>
                <w:color w:val="000000"/>
              </w:rPr>
              <w:t xml:space="preserve">[Sans commission, le cas échéant]</w:t>
            </w:r>
          </w:p>
        </w:tc>
      </w:tr>
      <w:tr>
        <w:tc>
          <w:tcPr>
            <w:tcW w:type="dxa" w:w="530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Frais d’abonnement / d’accès éventuels</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color w:val="000000"/>
              </w:rPr>
              <w:t xml:space="preserve">[•] €</w:t>
            </w:r>
          </w:p>
        </w:tc>
      </w:tr>
    </w:tbl>
    <w:p>
      <w:pPr>
        <w:spacing w:after="120" w:line="276"/>
        <w:jc w:val="both"/>
      </w:pPr>
      <w:r>
        <w:t xml:space="preserve">Les Commissions sont exprimées hors taxes ; la TVA au taux en vigueur s’ajoute le cas échéant. Sauf stipulation contraire, la Commission est exigible à la réalisation de la Transaction. Tout retard de paiement entraîne de plein droit des pénalités au taux [•] et l’indemnité forfaitaire de recouvrement de 40 € (entre professionnels).</w:t>
      </w:r>
    </w:p>
    <w:p>
      <w:pPr>
        <w:pStyle w:val="Heading1"/>
      </w:pPr>
      <w:r>
        <w:t xml:space="preserve">Article 7 – Absence de conseil en investissement et conformité réglementaire</w:t>
      </w:r>
    </w:p>
    <w:p>
      <w:pPr>
        <w:spacing w:after="120" w:line="276"/>
        <w:jc w:val="both"/>
      </w:pPr>
      <w:r>
        <w:t xml:space="preserve">Liquid+ agit en qualité d’intermédiaire et de prestataire de services. Liquid+ ne fournit pas de conseil en investissement, de gestion de portefeuille, ni de recommandation personnalisée, et n’est pas partie aux contrats d’investissement conclus entre le Client et les Startups Sélectionnées.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C00000" w:sz="8"/>
              <w:left w:val="single" w:color="C00000" w:sz="8"/>
              <w:bottom w:val="single" w:color="C00000" w:sz="8"/>
              <w:right w:val="single" w:color="C00000" w:sz="8"/>
            </w:tcBorders>
            <w:shd w:fill="FDECEC" w:val="clear"/>
            <w:tcMar>
              <w:top w:type="dxa" w:w="140"/>
              <w:left w:type="dxa" w:w="200"/>
              <w:bottom w:type="dxa" w:w="140"/>
              <w:right w:type="dxa" w:w="200"/>
            </w:tcMar>
          </w:tcPr>
          <w:p>
            <w:pPr>
              <w:jc w:val="both"/>
            </w:pPr>
            <w:r>
              <w:rPr>
                <w:b/>
                <w:bCs/>
                <w:color w:val="C00000"/>
                <w:sz w:val="18"/>
                <w:szCs w:val="18"/>
              </w:rPr>
              <w:t xml:space="preserve">À VÉRIFIER – STATUT RÉGLEMENTAIRE : </w:t>
            </w:r>
            <w:r>
              <w:rPr>
                <w:color w:val="7A1515"/>
                <w:sz w:val="18"/>
                <w:szCs w:val="18"/>
              </w:rPr>
              <w:t xml:space="preserve">selon l’étendue effective des services (notamment l’organisation du marché secondaire et la réception-transmission d’ordres), l’activité de Liquid+ peut relever d’un statut réglementé (notamment prestataire de services de financement participatif – PSFP – au titre du règlement (UE) 2020/1503, sous supervision de l’AMF). Liquid+ s’engage à obtenir et maintenir les agréments ou enregistrements requis. Le présent article doit être adapté au statut retenu.</w:t>
            </w:r>
          </w:p>
        </w:tc>
      </w:tr>
    </w:tbl>
    <w:p>
      <w:pPr>
        <w:spacing w:after="120" w:line="276"/>
        <w:jc w:val="both"/>
      </w:pPr>
      <w:r>
        <w:t xml:space="preserve">Liquid+ met en œuvre les obligations qui lui incombent en matière de KYC et de LCB-FT et peut, à ce titre, suspendre ou refuser une Transaction.</w:t>
      </w:r>
    </w:p>
    <w:p>
      <w:pPr>
        <w:pStyle w:val="Heading1"/>
      </w:pPr>
      <w:r>
        <w:t xml:space="preserve">Article 8 – Responsabilité</w:t>
      </w:r>
    </w:p>
    <w:p>
      <w:pPr>
        <w:spacing w:after="120" w:line="276"/>
        <w:jc w:val="both"/>
      </w:pPr>
      <w:r>
        <w:t xml:space="preserve">La responsabilité de Liquid+ est limitée aux dommages directs et prouvés résultant d’un manquement à ses obligations, et plafonnée au montant des Commissions perçues au titre de la Transaction concernée [au cours des [12] derniers mois]. Liquid+ n’est pas responsable des décisions d’investissement du Client, de la performance des Startups Sélectionnées, ni de l’exactitude des informations communiquées par celles-ci. Les exclusions ne s’appliquent pas en cas de faute lourde ou dolosive.</w:t>
      </w:r>
    </w:p>
    <w:p>
      <w:pPr>
        <w:pStyle w:val="Heading1"/>
      </w:pPr>
      <w:r>
        <w:t xml:space="preserve">Article 9 – Propriété intellectuelle</w:t>
      </w:r>
    </w:p>
    <w:p>
      <w:pPr>
        <w:spacing w:after="120" w:line="276"/>
        <w:jc w:val="both"/>
      </w:pPr>
      <w:r>
        <w:t xml:space="preserve">La Plateforme, l’outil de suivi, les analyses et tout élément fourni par Liquid+ demeurent sa propriété exclusive. Le Client bénéficie d’un droit d’usage personnel, non exclusif et non transférable, limité à la durée du Contrat.</w:t>
      </w:r>
    </w:p>
    <w:p>
      <w:pPr>
        <w:pStyle w:val="Heading1"/>
      </w:pPr>
      <w:r>
        <w:t xml:space="preserve">Article 10 – Données personnelles</w:t>
      </w:r>
    </w:p>
    <w:p>
      <w:pPr>
        <w:spacing w:after="120" w:line="276"/>
        <w:jc w:val="both"/>
      </w:pPr>
      <w:r>
        <w:t xml:space="preserve">Chaque Partie respecte la réglementation applicable aux données personnelles (RGPD et loi Informatique et Libertés). Liquid+ traite les données du Client aux fins d’exécution du Contrat, de conformité (KYC/LCB-FT) et d’amélioration de ses services, conformément à sa politique de confidentialité.</w:t>
      </w:r>
    </w:p>
    <w:p>
      <w:pPr>
        <w:pStyle w:val="Heading1"/>
      </w:pPr>
      <w:r>
        <w:t xml:space="preserve">Article 11 – Confidentialité</w:t>
      </w:r>
    </w:p>
    <w:p>
      <w:pPr>
        <w:spacing w:after="120" w:line="276"/>
        <w:jc w:val="both"/>
      </w:pPr>
      <w:r>
        <w:t xml:space="preserve">Les Parties maintiennent confidentielles les informations échangées, pendant la durée du Contrat et [2] ans après son terme, sauf obligation légale ou réglementaire.</w:t>
      </w:r>
    </w:p>
    <w:p>
      <w:pPr>
        <w:pStyle w:val="Heading1"/>
      </w:pPr>
      <w:r>
        <w:t xml:space="preserve">Article 12 – Durée et résiliation</w:t>
      </w:r>
    </w:p>
    <w:p>
      <w:pPr>
        <w:spacing w:after="120" w:line="276"/>
        <w:jc w:val="both"/>
      </w:pPr>
      <w:r>
        <w:t xml:space="preserve">Le Contrat est conclu pour une durée de [•] [renouvelable par tacite reconduction]. Chaque Partie peut y mettre fin moyennant un préavis de [•], par notification écrite. En cas de manquement grave non réparé dans les [15] jours d’une mise en demeure, le Contrat peut être résilié de plein droit. Les Commissions dues au titre des Transactions réalisées ou en cours restent exigibles.</w:t>
      </w:r>
    </w:p>
    <w:p>
      <w:pPr>
        <w:pStyle w:val="Heading1"/>
      </w:pPr>
      <w:r>
        <w:t xml:space="preserve">Article 13 – Dispositions applicables aux clients consommateurs</w:t>
      </w:r>
    </w:p>
    <w:p>
      <w:pPr>
        <w:spacing w:after="120" w:line="276"/>
        <w:jc w:val="both"/>
      </w:pPr>
      <w:r>
        <w:t xml:space="preserve">[Si le Client est un consommateur au sens du Code de la consommation] Le Client bénéficie des dispositions protectrices applicables, notamment en matière d’information précontractuelle et, le cas échéant, de droit de rétractation pour les contrats conclus à distance. Les modalités d’exercice figurent en Annexe 2.</w:t>
      </w:r>
    </w:p>
    <w:p>
      <w:pPr>
        <w:pStyle w:val="Heading1"/>
      </w:pPr>
      <w:r>
        <w:t xml:space="preserve">Article 14 – Stipulations diverses</w:t>
      </w:r>
    </w:p>
    <w:p>
      <w:pPr>
        <w:pStyle w:val="ListParagraph"/>
        <w:numPr>
          <w:ilvl w:val="0"/>
          <w:numId w:val="2"/>
        </w:numPr>
        <w:spacing w:after="70" w:line="270"/>
        <w:jc w:val="both"/>
      </w:pPr>
      <w:r>
        <w:t xml:space="preserve">Indépendance : les Parties sont indépendantes ; le Contrat ne crée ni société, ni mandat, ni représentation, sous réserve du contrat d’apport d’affaires applicable.</w:t>
      </w:r>
    </w:p>
    <w:p>
      <w:pPr>
        <w:pStyle w:val="ListParagraph"/>
        <w:numPr>
          <w:ilvl w:val="0"/>
          <w:numId w:val="2"/>
        </w:numPr>
        <w:spacing w:after="70" w:line="270"/>
        <w:jc w:val="both"/>
      </w:pPr>
      <w:r>
        <w:t xml:space="preserve">Intégralité et nullité partielle : le Contrat exprime l’intégralité de l’accord ; l’invalidité d’une clause n’affecte pas les autres.</w:t>
      </w:r>
    </w:p>
    <w:p>
      <w:pPr>
        <w:pStyle w:val="ListParagraph"/>
        <w:numPr>
          <w:ilvl w:val="0"/>
          <w:numId w:val="2"/>
        </w:numPr>
        <w:spacing w:after="70" w:line="270"/>
        <w:jc w:val="both"/>
      </w:pPr>
      <w:r>
        <w:t xml:space="preserve">Cession : le Contrat ne peut être cédé par le Client sans l’accord de Liquid+.</w:t>
      </w:r>
    </w:p>
    <w:p>
      <w:pPr>
        <w:pStyle w:val="ListParagraph"/>
        <w:numPr>
          <w:ilvl w:val="0"/>
          <w:numId w:val="2"/>
        </w:numPr>
        <w:spacing w:after="70" w:line="270"/>
        <w:jc w:val="both"/>
      </w:pPr>
      <w:r>
        <w:t xml:space="preserve">Notifications : par écrit (courrier ou voie électronique avec accusé).</w:t>
      </w:r>
    </w:p>
    <w:p>
      <w:pPr>
        <w:pStyle w:val="Heading1"/>
      </w:pPr>
      <w:r>
        <w:t xml:space="preserve">Article 15 – Droit applicable et juridiction</w:t>
      </w:r>
    </w:p>
    <w:p>
      <w:pPr>
        <w:spacing w:after="120" w:line="276"/>
        <w:jc w:val="both"/>
      </w:pPr>
      <w:r>
        <w:t xml:space="preserve">Le Contrat est régi par le droit français. À défaut de règlement amiable [– et, pour les consommateurs, après recours éventuel à la médiation de la consommation –], tout différend sera soumis aux tribunaux compétents [du ressort de la Cour d’appel de Paris, sous réserve des règles impératives de compétence applicables aux consommateurs].</w:t>
      </w:r>
    </w:p>
    <w:p>
      <w:r>
        <w:br w:type="page"/>
      </w:r>
    </w:p>
    <w:p>
      <w:pPr>
        <w:pStyle w:val="Heading1"/>
      </w:pPr>
      <w:r>
        <w:t xml:space="preserve">Signatures</w:t>
      </w:r>
    </w:p>
    <w:p>
      <w:pPr>
        <w:spacing w:after="120" w:line="276"/>
        <w:jc w:val="both"/>
      </w:pPr>
      <w:r>
        <w:t xml:space="preserve">Fait à [•], le [•], en deux exemplaires originaux [ou par voie de signature électronique conforme au règlement eIDAS].</w:t>
      </w:r>
    </w:p>
    <w:p>
      <w:pPr>
        <w:spacing w:after="360" w:before="400"/>
      </w:pPr>
      <w:r>
        <w:rPr>
          <w:b/>
          <w:bCs/>
        </w:rPr>
        <w:t xml:space="preserve">Pour Liquid+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le Client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Grille de commissions Liquid+ détaillée.</w:t>
      </w:r>
    </w:p>
    <w:p>
      <w:pPr>
        <w:pStyle w:val="ListParagraph"/>
        <w:numPr>
          <w:ilvl w:val="0"/>
          <w:numId w:val="2"/>
        </w:numPr>
        <w:spacing w:after="70" w:line="270"/>
        <w:jc w:val="both"/>
      </w:pPr>
      <w:r>
        <w:t xml:space="preserve">Annexe 2 – Informations précontractuelles et, le cas échéant, formulaire de rétractation (clients consommateurs).</w:t>
      </w:r>
    </w:p>
    <w:p>
      <w:pPr>
        <w:pStyle w:val="ListParagraph"/>
        <w:numPr>
          <w:ilvl w:val="0"/>
          <w:numId w:val="2"/>
        </w:numPr>
        <w:spacing w:after="70" w:line="270"/>
        <w:jc w:val="both"/>
      </w:pPr>
      <w:r>
        <w:t xml:space="preserve">Annexe 3 – Politique de confidentialité et traitement des données personnelles.</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l’Article 7 (statut réglementaire) est déterminant et doit être arbitré AVANT toute commercialisation : selon l’activité réelle, un agrément PSFP (règlement UE 2020/1503) ou un autre statut peut être obligatoire. Si le Client est un consommateur, les règles du Code de la consommation (information précontractuelle, rétractation, clauses abusives) s’imposent. À relire par un avocat spécialisé en droit financier / réglementaire.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Contrat de prestation de services</w:t>
    </w:r>
    <w:r>
      <w:rPr>
        <w:b/>
        <w:bCs/>
        <w:color w:val="1F3864"/>
        <w:sz w:val="16"/>
        <w:szCs w:val="16"/>
      </w:rPr>
      <w:t xml:space="preserve">	Liquid+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 de services Liquid+</dc:title>
  <dc:creator>Contrat de prestation de services</dc:creator>
  <cp:lastModifiedBy>Un-named</cp:lastModifiedBy>
  <cp:revision>1</cp:revision>
  <dcterms:created xsi:type="dcterms:W3CDTF">2026-06-11T08:21:04.579Z</dcterms:created>
  <dcterms:modified xsi:type="dcterms:W3CDTF">2026-06-11T08:21:04.593Z</dcterms:modified>
</cp:coreProperties>
</file>

<file path=docProps/custom.xml><?xml version="1.0" encoding="utf-8"?>
<Properties xmlns="http://schemas.openxmlformats.org/officeDocument/2006/custom-properties" xmlns:vt="http://schemas.openxmlformats.org/officeDocument/2006/docPropsVTypes"/>
</file>