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0"/>
        <w:jc w:val="center"/>
      </w:pPr>
      <w:r>
        <w:rPr>
          <w:b/>
          <w:bCs/>
          <w:color w:val="1F3864"/>
          <w:sz w:val="42"/>
          <w:szCs w:val="42"/>
        </w:rPr>
        <w:t xml:space="preserve">CONVENTION DE CESSION</w:t>
      </w:r>
    </w:p>
    <w:p>
      <w:pPr>
        <w:spacing w:after="60"/>
        <w:jc w:val="center"/>
      </w:pPr>
      <w:r>
        <w:rPr>
          <w:b/>
          <w:bCs/>
          <w:color w:val="1F3864"/>
          <w:sz w:val="42"/>
          <w:szCs w:val="42"/>
        </w:rPr>
        <w:t xml:space="preserve">D’ACTIONS</w:t>
      </w:r>
    </w:p>
    <w:p>
      <w:pPr>
        <w:spacing w:after="900"/>
        <w:jc w:val="center"/>
      </w:pPr>
      <w:r>
        <w:rPr>
          <w:i/>
          <w:iCs/>
          <w:color w:val="555555"/>
          <w:sz w:val="24"/>
          <w:szCs w:val="24"/>
        </w:rPr>
        <w:t xml:space="preserve">(Cession de titres – marché secondaire)</w:t>
      </w:r>
    </w:p>
    <w:p>
      <w:pPr>
        <w:spacing w:after="40"/>
        <w:jc w:val="center"/>
      </w:pPr>
      <w:r>
        <w:rPr>
          <w:sz w:val="22"/>
          <w:szCs w:val="22"/>
        </w:rPr>
        <w:t xml:space="preserve">relative à la société</w:t>
      </w:r>
    </w:p>
    <w:p>
      <w:pPr>
        <w:spacing w:after="900"/>
        <w:jc w:val="center"/>
      </w:pPr>
      <w:r>
        <w:rPr>
          <w:b/>
          <w:bCs/>
          <w:color w:val="C00000"/>
          <w:sz w:val="30"/>
          <w:szCs w:val="30"/>
        </w:rPr>
        <w:t xml:space="preserve">[DÉNOMINATION DE LA SOCIÉTÉ] – SAS</w:t>
      </w:r>
    </w:p>
    <w:p>
      <w:pPr>
        <w:jc w:val="center"/>
      </w:pPr>
      <w:r>
        <w:rPr>
          <w:b/>
          <w:bCs/>
          <w:color w:val="C00000"/>
          <w:sz w:val="20"/>
          <w:szCs w:val="20"/>
        </w:rPr>
        <w:t xml:space="preserve">En date du [•]</w:t>
      </w:r>
    </w:p>
    <w:p>
      <w:r>
        <w:br w:type="page"/>
      </w:r>
    </w:p>
    <w:p>
      <w:pPr>
        <w:spacing w:after="160"/>
      </w:pPr>
      <w:r>
        <w:rPr>
          <w:b/>
          <w:bCs/>
          <w:color w:val="1F3864"/>
          <w:sz w:val="26"/>
          <w:szCs w:val="26"/>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Entre les soussignés</w:t>
      </w:r>
    </w:p>
    <w:p>
      <w:pPr>
        <w:spacing w:after="120" w:line="276"/>
        <w:jc w:val="both"/>
      </w:pPr>
      <w:r>
        <w:rPr>
          <w:b/>
          <w:bCs/>
        </w:rPr>
        <w:t xml:space="preserve">1. Le Cédant – </w:t>
      </w:r>
      <w:r>
        <w:rPr>
          <w:b/>
          <w:bCs/>
          <w:color w:val="C00000"/>
        </w:rPr>
        <w:t xml:space="preserve">[IDENTITÉ COMPLÈTE]</w:t>
      </w:r>
      <w:r>
        <w:t xml:space="preserve"> (né le [•] / immatriculé sous le n° [•]), demeurant / siège social </w:t>
      </w:r>
      <w:r>
        <w:rPr>
          <w:b/>
          <w:bCs/>
          <w:color w:val="C00000"/>
        </w:rPr>
        <w:t xml:space="preserve">[ADRESSE]</w:t>
      </w:r>
      <w:r>
        <w:t xml:space="preserve">,</w:t>
      </w:r>
    </w:p>
    <w:p>
      <w:pPr>
        <w:spacing w:after="120" w:line="276"/>
        <w:jc w:val="both"/>
      </w:pPr>
      <w:r>
        <w:t xml:space="preserve">ci-après le « Cédant »,</w:t>
      </w:r>
    </w:p>
    <w:p>
      <w:pPr>
        <w:spacing w:after="120" w:line="276"/>
        <w:jc w:val="both"/>
      </w:pPr>
      <w:r>
        <w:rPr>
          <w:b/>
          <w:bCs/>
        </w:rPr>
        <w:t xml:space="preserve">2. Le Cessionnaire – </w:t>
      </w:r>
      <w:r>
        <w:rPr>
          <w:b/>
          <w:bCs/>
          <w:color w:val="C00000"/>
        </w:rPr>
        <w:t xml:space="preserve">[IDENTITÉ COMPLÈTE]</w:t>
      </w:r>
      <w:r>
        <w:t xml:space="preserve">, demeurant / siège social </w:t>
      </w:r>
      <w:r>
        <w:rPr>
          <w:b/>
          <w:bCs/>
          <w:color w:val="C00000"/>
        </w:rPr>
        <w:t xml:space="preserve">[ADRESSE]</w:t>
      </w:r>
      <w:r>
        <w:t xml:space="preserve">,</w:t>
      </w:r>
    </w:p>
    <w:p>
      <w:pPr>
        <w:spacing w:after="120" w:line="276"/>
        <w:jc w:val="both"/>
      </w:pPr>
      <w:r>
        <w:t xml:space="preserve">ci-après le « Cessionnaire »,</w:t>
      </w:r>
    </w:p>
    <w:p>
      <w:pPr>
        <w:spacing w:after="120" w:line="276"/>
        <w:jc w:val="both"/>
      </w:pPr>
      <w:r>
        <w:rPr>
          <w:b/>
          <w:bCs/>
        </w:rPr>
        <w:t xml:space="preserve">3. La Société – </w:t>
      </w:r>
      <w:r>
        <w:rPr>
          <w:b/>
          <w:bCs/>
          <w:color w:val="C00000"/>
        </w:rPr>
        <w:t xml:space="preserve">[DÉNOMINATION]</w:t>
      </w:r>
      <w:r>
        <w:t xml:space="preserve">, SAS au capital de </w:t>
      </w:r>
      <w:r>
        <w:rPr>
          <w:b/>
          <w:bCs/>
          <w:color w:val="C00000"/>
        </w:rPr>
        <w:t xml:space="preserve">[•] €</w:t>
      </w:r>
      <w:r>
        <w:t xml:space="preserve">, RCS de </w:t>
      </w:r>
      <w:r>
        <w:rPr>
          <w:b/>
          <w:bCs/>
          <w:color w:val="C00000"/>
        </w:rPr>
        <w:t xml:space="preserve">[•]</w:t>
      </w:r>
      <w:r>
        <w:t xml:space="preserve">, intervenant aux présentes pour les seuls besoins de l’inscription du transfert et, le cas échéant, de la confirmation de la purge des droits statutaires,</w:t>
      </w:r>
    </w:p>
    <w:p>
      <w:pPr>
        <w:spacing w:after="120" w:line="276"/>
        <w:jc w:val="both"/>
      </w:pPr>
      <w:r>
        <w:rPr>
          <w:b w:val="false"/>
          <w:bCs w:val="false"/>
        </w:rPr>
        <w:t xml:space="preserve">ci-après la « Société ». Le Cédant et le Cessionnaire étant ci-après dénommés ensemble les « Parties ».</w:t>
      </w:r>
    </w:p>
    <w:p>
      <w:pPr>
        <w:pStyle w:val="Heading1"/>
      </w:pPr>
      <w:r>
        <w:t xml:space="preserve">Préambule</w:t>
      </w:r>
    </w:p>
    <w:p>
      <w:pPr>
        <w:pStyle w:val="ListParagraph"/>
        <w:numPr>
          <w:ilvl w:val="0"/>
          <w:numId w:val="2"/>
        </w:numPr>
        <w:spacing w:after="70" w:line="270"/>
        <w:jc w:val="both"/>
      </w:pPr>
      <w:r>
        <w:t xml:space="preserve">Le Cédant détient [•] actions de la Société, représentant [•] % du capital.</w:t>
      </w:r>
    </w:p>
    <w:p>
      <w:pPr>
        <w:pStyle w:val="ListParagraph"/>
        <w:numPr>
          <w:ilvl w:val="0"/>
          <w:numId w:val="2"/>
        </w:numPr>
        <w:spacing w:after="70" w:line="270"/>
        <w:jc w:val="both"/>
      </w:pPr>
      <w:r>
        <w:t xml:space="preserve">Le Cédant souhaite céder, et le Cessionnaire souhaite acquérir, les actions désignées ci-après, aux conditions de la présente convention.</w:t>
      </w:r>
    </w:p>
    <w:p>
      <w:pPr>
        <w:pStyle w:val="ListParagraph"/>
        <w:numPr>
          <w:ilvl w:val="0"/>
          <w:numId w:val="2"/>
        </w:numPr>
        <w:spacing w:after="70" w:line="270"/>
        <w:jc w:val="both"/>
      </w:pPr>
      <w:r>
        <w:t xml:space="preserve">Les Parties reconnaissent que la cession est subordonnée à la purge des droits prévus par les statuts et, le cas échéant, le pacte d’actionnaires (agrément, préemption).</w:t>
      </w:r>
    </w:p>
    <w:p>
      <w:pPr>
        <w:spacing w:after="120" w:line="276"/>
        <w:jc w:val="both"/>
      </w:pPr>
      <w:r>
        <w:rPr>
          <w:b/>
          <w:bCs/>
        </w:rPr>
        <w:t xml:space="preserve">Ceci exposé, il a été convenu ce qui suit.</w:t>
      </w:r>
    </w:p>
    <w:p>
      <w:pPr>
        <w:pStyle w:val="Heading1"/>
      </w:pPr>
      <w:r>
        <w:t xml:space="preserve">Article 1 – Définitions</w:t>
      </w:r>
    </w:p>
    <w:p>
      <w:pPr>
        <w:spacing w:after="120" w:line="276"/>
        <w:jc w:val="both"/>
      </w:pPr>
      <w:r>
        <w:t xml:space="preserve">« Actions Cédées » : les actions de la Société objet de la présente cession. « Date de Réalisation » : la date à laquelle le transfert de propriété des Actions Cédées intervient, telle que définie à l’Article 5. « Droits Préalables » : les droits d’agrément et de préemption prévus par les statuts et/ou le pacte.</w:t>
      </w:r>
    </w:p>
    <w:p>
      <w:pPr>
        <w:pStyle w:val="Heading1"/>
      </w:pPr>
      <w:r>
        <w:t xml:space="preserve">Article 2 – Objet de la cession</w:t>
      </w:r>
    </w:p>
    <w:p>
      <w:pPr>
        <w:spacing w:after="120" w:line="276"/>
        <w:jc w:val="both"/>
      </w:pPr>
      <w:r>
        <w:t xml:space="preserve">Le Cédant cède au Cessionnaire, qui accepte, la pleine propriété de </w:t>
      </w:r>
      <w:r>
        <w:rPr>
          <w:b/>
          <w:bCs/>
          <w:color w:val="C00000"/>
        </w:rPr>
        <w:t xml:space="preserve">[•]</w:t>
      </w:r>
      <w:r>
        <w:t xml:space="preserve"> actions de la Société [de catégorie </w:t>
      </w:r>
      <w:r>
        <w:rPr>
          <w:b/>
          <w:bCs/>
          <w:color w:val="C00000"/>
        </w:rPr>
        <w:t xml:space="preserve">[ordinaires / de préférence]</w:t>
      </w:r>
      <w:r>
        <w:t xml:space="preserve">], portant les numéros </w:t>
      </w:r>
      <w:r>
        <w:rPr>
          <w:b/>
          <w:bCs/>
          <w:color w:val="C00000"/>
        </w:rPr>
        <w:t xml:space="preserve">[•] à [•]</w:t>
      </w:r>
      <w:r>
        <w:t xml:space="preserve"> (les « Actions Cédées »), avec tous les droits et obligations y attachés, libres de tout nantissement, sûreté ou droit de tiers.</w:t>
      </w:r>
    </w:p>
    <w:p>
      <w:pPr>
        <w:pStyle w:val="Heading1"/>
      </w:pPr>
      <w:r>
        <w:t xml:space="preserve">Article 3 – Prix et paiement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00"/>
        <w:gridCol w:w="6006"/>
      </w:tblGrid>
      <w:tr>
        <w:tc>
          <w:tcPr>
            <w:tcW w:type="dxa" w:w="3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r>
              <w:rPr>
                <w:b/>
                <w:bCs/>
              </w:rPr>
              <w:t xml:space="preserve">Prix unitaire par action</w:t>
            </w:r>
          </w:p>
        </w:tc>
        <w:tc>
          <w:tcPr>
            <w:tcW w:type="dxa" w:w="6006"/>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bCs/>
                <w:color w:val="C00000"/>
              </w:rPr>
              <w:t xml:space="preserve">[•] €</w:t>
            </w:r>
          </w:p>
        </w:tc>
      </w:tr>
      <w:tr>
        <w:tc>
          <w:tcPr>
            <w:tcW w:type="dxa" w:w="3300"/>
            <w:tcBorders>
              <w:top w:val="single" w:color="BBBBBB" w:sz="1"/>
              <w:left w:val="single" w:color="BBBBBB" w:sz="1"/>
              <w:bottom w:val="single" w:color="BBBBBB" w:sz="1"/>
              <w:right w:val="single" w:color="BBBBBB" w:sz="1"/>
            </w:tcBorders>
            <w:shd w:fill="EDF1F7" w:val="clear"/>
            <w:tcMar>
              <w:top w:type="dxa" w:w="70"/>
              <w:left w:type="dxa" w:w="110"/>
              <w:bottom w:type="dxa" w:w="70"/>
              <w:right w:type="dxa" w:w="110"/>
            </w:tcMar>
            <w:vAlign w:val="center"/>
          </w:tcPr>
          <w:p>
            <w:r>
              <w:rPr>
                <w:b/>
                <w:bCs/>
              </w:rPr>
              <w:t xml:space="preserve">Nombre d’Actions Cédées</w:t>
            </w:r>
          </w:p>
        </w:tc>
        <w:tc>
          <w:tcPr>
            <w:tcW w:type="dxa" w:w="6006"/>
            <w:tcBorders>
              <w:top w:val="single" w:color="BBBBBB" w:sz="1"/>
              <w:left w:val="single" w:color="BBBBBB" w:sz="1"/>
              <w:bottom w:val="single" w:color="BBBBBB" w:sz="1"/>
              <w:right w:val="single" w:color="BBBBBB" w:sz="1"/>
            </w:tcBorders>
            <w:shd w:fill="EDF1F7" w:val="clear"/>
            <w:tcMar>
              <w:top w:type="dxa" w:w="70"/>
              <w:left w:type="dxa" w:w="110"/>
              <w:bottom w:type="dxa" w:w="70"/>
              <w:right w:type="dxa" w:w="110"/>
            </w:tcMar>
          </w:tcPr>
          <w:p>
            <w:r>
              <w:rPr>
                <w:b/>
                <w:bCs/>
                <w:color w:val="C00000"/>
              </w:rPr>
              <w:t xml:space="preserve">[•]</w:t>
            </w:r>
          </w:p>
        </w:tc>
      </w:tr>
      <w:tr>
        <w:tc>
          <w:tcPr>
            <w:tcW w:type="dxa" w:w="33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r>
              <w:rPr>
                <w:b/>
                <w:bCs/>
              </w:rPr>
              <w:t xml:space="preserve">Prix total de cession</w:t>
            </w:r>
          </w:p>
        </w:tc>
        <w:tc>
          <w:tcPr>
            <w:tcW w:type="dxa" w:w="6006"/>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r>
              <w:rPr>
                <w:b/>
                <w:bCs/>
                <w:color w:val="C00000"/>
              </w:rPr>
              <w:t xml:space="preserve">[•] €</w:t>
            </w:r>
          </w:p>
        </w:tc>
      </w:tr>
      <w:tr>
        <w:tc>
          <w:tcPr>
            <w:tcW w:type="dxa" w:w="3300"/>
            <w:tcBorders>
              <w:top w:val="single" w:color="BBBBBB" w:sz="1"/>
              <w:left w:val="single" w:color="BBBBBB" w:sz="1"/>
              <w:bottom w:val="single" w:color="BBBBBB" w:sz="1"/>
              <w:right w:val="single" w:color="BBBBBB" w:sz="1"/>
            </w:tcBorders>
            <w:shd w:fill="EDF1F7" w:val="clear"/>
            <w:tcMar>
              <w:top w:type="dxa" w:w="70"/>
              <w:left w:type="dxa" w:w="110"/>
              <w:bottom w:type="dxa" w:w="70"/>
              <w:right w:type="dxa" w:w="110"/>
            </w:tcMar>
            <w:vAlign w:val="center"/>
          </w:tcPr>
          <w:p>
            <w:r>
              <w:rPr>
                <w:b/>
                <w:bCs/>
              </w:rPr>
              <w:t xml:space="preserve">Modalité de paiement</w:t>
            </w:r>
          </w:p>
        </w:tc>
        <w:tc>
          <w:tcPr>
            <w:tcW w:type="dxa" w:w="6006"/>
            <w:tcBorders>
              <w:top w:val="single" w:color="BBBBBB" w:sz="1"/>
              <w:left w:val="single" w:color="BBBBBB" w:sz="1"/>
              <w:bottom w:val="single" w:color="BBBBBB" w:sz="1"/>
              <w:right w:val="single" w:color="BBBBBB" w:sz="1"/>
            </w:tcBorders>
            <w:shd w:fill="EDF1F7" w:val="clear"/>
            <w:tcMar>
              <w:top w:type="dxa" w:w="70"/>
              <w:left w:type="dxa" w:w="110"/>
              <w:bottom w:type="dxa" w:w="70"/>
              <w:right w:type="dxa" w:w="110"/>
            </w:tcMar>
          </w:tcPr>
          <w:p>
            <w:r>
              <w:t xml:space="preserve">à la Date de Réalisation, par virement [•] / [séquestre]</w:t>
            </w:r>
          </w:p>
        </w:tc>
      </w:tr>
    </w:tbl>
    <w:p>
      <w:pPr>
        <w:spacing w:after="120" w:line="276"/>
        <w:jc w:val="both"/>
      </w:pPr>
      <w:r>
        <w:t xml:space="preserve">Le prix est payé [comptant à la Date de Réalisation / par l’intermédiaire d’un séquestre, libéré au Cédant contre remise de l’ordre de mouvement signé et constatation de l’inscription du transfert]. [Le cas échéant : modalités de paiement différé / crédit-vendeur / complément de prix.]</w:t>
      </w:r>
    </w:p>
    <w:p>
      <w:pPr>
        <w:pStyle w:val="Heading1"/>
      </w:pPr>
      <w:r>
        <w:t xml:space="preserve">Article 4 – Conditions préalables (purge des Droits Préalables)</w:t>
      </w:r>
    </w:p>
    <w:p>
      <w:pPr>
        <w:spacing w:after="120" w:line="276"/>
        <w:jc w:val="both"/>
      </w:pPr>
      <w:r>
        <w:t xml:space="preserve">La cession est subordonnée à la réalisation des conditions préalables suivantes :</w:t>
      </w:r>
    </w:p>
    <w:p>
      <w:pPr>
        <w:pStyle w:val="ListParagraph"/>
        <w:numPr>
          <w:ilvl w:val="0"/>
          <w:numId w:val="2"/>
        </w:numPr>
        <w:spacing w:after="70" w:line="270"/>
        <w:jc w:val="both"/>
      </w:pPr>
      <w:r>
        <w:t xml:space="preserve">obtention de l’agrément du Cessionnaire dans les conditions statutaires, ou écoulement du délai valant agrément tacite ;</w:t>
      </w:r>
    </w:p>
    <w:p>
      <w:pPr>
        <w:pStyle w:val="ListParagraph"/>
        <w:numPr>
          <w:ilvl w:val="0"/>
          <w:numId w:val="2"/>
        </w:numPr>
        <w:spacing w:after="70" w:line="270"/>
        <w:jc w:val="both"/>
      </w:pPr>
      <w:r>
        <w:t xml:space="preserve">purge du droit de préemption prévu par les statuts et/ou le pacte (renonciation ou expiration du délai) ;</w:t>
      </w:r>
    </w:p>
    <w:p>
      <w:pPr>
        <w:pStyle w:val="ListParagraph"/>
        <w:numPr>
          <w:ilvl w:val="0"/>
          <w:numId w:val="2"/>
        </w:numPr>
        <w:spacing w:after="70" w:line="270"/>
        <w:jc w:val="both"/>
      </w:pPr>
      <w:r>
        <w:t xml:space="preserve">adhésion du Cessionnaire au pacte d’actionnaires par acte d’adhésion, le cas échéant ;</w:t>
      </w:r>
    </w:p>
    <w:p>
      <w:pPr>
        <w:pStyle w:val="ListParagraph"/>
        <w:numPr>
          <w:ilvl w:val="0"/>
          <w:numId w:val="2"/>
        </w:numPr>
        <w:spacing w:after="70" w:line="270"/>
        <w:jc w:val="both"/>
      </w:pPr>
      <w:r>
        <w:t xml:space="preserve">le cas échéant, obtention des autorisations de tiers.</w:t>
      </w:r>
    </w:p>
    <w:p>
      <w:pPr>
        <w:spacing w:after="120" w:line="276"/>
        <w:jc w:val="both"/>
      </w:pPr>
      <w:r>
        <w:t xml:space="preserve">À défaut de réalisation de ces conditions à la date du [•], la présente convention sera caduque de plein droit, sans indemnité.</w:t>
      </w:r>
    </w:p>
    <w:p>
      <w:pPr>
        <w:pStyle w:val="Heading1"/>
      </w:pPr>
      <w:r>
        <w:t xml:space="preserve">Article 5 – Transfert de propriété et réalisation</w:t>
      </w:r>
    </w:p>
    <w:p>
      <w:pPr>
        <w:spacing w:after="120" w:line="276"/>
        <w:jc w:val="both"/>
      </w:pPr>
      <w:r>
        <w:t xml:space="preserve">Le transfert de propriété des Actions Cédées intervient à la Date de Réalisation, par la signature et la remise à la Société d’un ordre de mouvement, et l’inscription corrélative au registre des mouvements de titres et au compte d’associé du Cessionnaire. La jouissance des Actions Cédées est transférée à la même date. La Société procède à l’inscription et délivre, sur demande, une attestation d’inscription en compte.</w:t>
      </w:r>
    </w:p>
    <w:p>
      <w:pPr>
        <w:pStyle w:val="Heading1"/>
      </w:pPr>
      <w:r>
        <w:t xml:space="preserve">Article 6 – Déclarations et garanties du Cédant</w:t>
      </w:r>
    </w:p>
    <w:p>
      <w:pPr>
        <w:spacing w:after="120" w:line="276"/>
        <w:jc w:val="both"/>
      </w:pPr>
      <w:r>
        <w:t xml:space="preserve">Le Cédant déclare et garantit au Cessionnaire :</w:t>
      </w:r>
    </w:p>
    <w:p>
      <w:pPr>
        <w:pStyle w:val="ListParagraph"/>
        <w:numPr>
          <w:ilvl w:val="0"/>
          <w:numId w:val="2"/>
        </w:numPr>
        <w:spacing w:after="70" w:line="270"/>
        <w:jc w:val="both"/>
      </w:pPr>
      <w:r>
        <w:t xml:space="preserve">qu’il est seul et unique propriétaire des Actions Cédées, qu’elles sont valablement émises et intégralement libérées, et libres de tout nantissement, sûreté, promesse ou droit de tiers (garantie de propriété et d’éviction) ;</w:t>
      </w:r>
    </w:p>
    <w:p>
      <w:pPr>
        <w:pStyle w:val="ListParagraph"/>
        <w:numPr>
          <w:ilvl w:val="0"/>
          <w:numId w:val="2"/>
        </w:numPr>
        <w:spacing w:after="70" w:line="270"/>
        <w:jc w:val="both"/>
      </w:pPr>
      <w:r>
        <w:t xml:space="preserve">qu’il dispose de la pleine capacité et des pouvoirs pour céder les Actions Cédées et qu’aucune restriction (autre que les Droits Préalables purgés) ne s’y oppose ;</w:t>
      </w:r>
    </w:p>
    <w:p>
      <w:pPr>
        <w:pStyle w:val="ListParagraph"/>
        <w:numPr>
          <w:ilvl w:val="0"/>
          <w:numId w:val="2"/>
        </w:numPr>
        <w:spacing w:after="70" w:line="270"/>
        <w:jc w:val="both"/>
      </w:pPr>
      <w:r>
        <w:t xml:space="preserve">qu’à sa connaissance, aucune procédure n’est de nature à remettre en cause la cession.</w:t>
      </w:r>
    </w:p>
    <w:p>
      <w:pPr>
        <w:pStyle w:val="Heading3"/>
      </w:pPr>
      <w:r>
        <w:t xml:space="preserve">6.1 Déclarations étendues (optionnel)</w:t>
      </w:r>
    </w:p>
    <w:p>
      <w:pPr>
        <w:spacing w:after="120" w:line="276"/>
        <w:jc w:val="both"/>
      </w:pPr>
      <w:r>
        <w:rPr>
          <w:i/>
          <w:iCs/>
        </w:rPr>
        <w:t xml:space="preserve">[Variante : en cas de cession d’une participation significative ou de contrôle, le Cédant consent des déclarations étendues sur la Société (comptes, passif, contrats, social, fiscal, contentieux) et une garantie d’actif et de passif. Pour une cession entre investisseurs sur le marché secondaire portant sur une participation minoritaire, ces déclarations sont généralement limitées aux garanties de titre ci-dessus.]</w:t>
      </w:r>
    </w:p>
    <w:p>
      <w:pPr>
        <w:pStyle w:val="Heading1"/>
      </w:pPr>
      <w:r>
        <w:t xml:space="preserve">Article 7 – Déclarations du Cessionnaire</w:t>
      </w:r>
    </w:p>
    <w:p>
      <w:pPr>
        <w:spacing w:after="120" w:line="276"/>
        <w:jc w:val="both"/>
      </w:pPr>
      <w:r>
        <w:t xml:space="preserve">Le Cessionnaire déclare disposer de la capacité et des fonds nécessaires, agir pour son propre compte [ou pour le compte de [•]], que les fonds ont une origine licite (LCB-FT), et reconnaître le caractère risqué et illiquide d’un investissement en titres non cotés, pouvant entraîner une perte totale. Le Cessionnaire déclare avoir obtenu l’information qu’il estimait nécessaire et réaliser la cession en pleine connaissance de cause.</w:t>
      </w:r>
    </w:p>
    <w:p>
      <w:pPr>
        <w:pStyle w:val="Heading1"/>
      </w:pPr>
      <w:r>
        <w:t xml:space="preserve">Article 8 – Garantie et indemnisation</w:t>
      </w:r>
    </w:p>
    <w:p>
      <w:pPr>
        <w:spacing w:after="120" w:line="276"/>
        <w:jc w:val="both"/>
      </w:pPr>
      <w:r>
        <w:t xml:space="preserve">Le Cédant indemnisera le Cessionnaire de tout préjudice résultant de l’inexactitude d’une déclaration de l’Article 6. [En cas de déclarations étendues / GAP : seuil de [•] €, franchise de [•] €, plafond de [•] €, durée de [•] mois, durée majorée pour les matières fiscales et sociales, modalités de mise en œuvre et garantie de la garantie.]</w:t>
      </w:r>
    </w:p>
    <w:p>
      <w:pPr>
        <w:pStyle w:val="Heading1"/>
      </w:pPr>
      <w:r>
        <w:t xml:space="preserve">Article 9 – Fiscalité – Droits d’enregistrement</w:t>
      </w:r>
    </w:p>
    <w:p>
      <w:pPr>
        <w:spacing w:after="120" w:line="276"/>
        <w:jc w:val="both"/>
      </w:pPr>
      <w:r>
        <w:t xml:space="preserve">La cession d’actions de société par actions est soumise au droit d’enregistrement de 0,1 % assis sur le prix de cession (article 726 du Code général des impôts), à la charge [du Cessionnaire / à répartir entre les Parties]. Les Parties procéderont à l’enregistrement de la cession dans le délai d’un mois. [Le Cédant fait son affaire personnelle de l’imposition de la plus-value éventuelle.]</w:t>
      </w:r>
    </w:p>
    <w:p>
      <w:pPr>
        <w:pStyle w:val="Heading1"/>
      </w:pPr>
      <w:r>
        <w:t xml:space="preserve">Article 10 – Confidentialité et stipulations diverses</w:t>
      </w:r>
    </w:p>
    <w:p>
      <w:pPr>
        <w:pStyle w:val="ListParagraph"/>
        <w:numPr>
          <w:ilvl w:val="0"/>
          <w:numId w:val="2"/>
        </w:numPr>
        <w:spacing w:after="70" w:line="270"/>
        <w:jc w:val="both"/>
      </w:pPr>
      <w:r>
        <w:t xml:space="preserve">Confidentialité : les Parties maintiennent confidentiels la convention et son contenu, sauf obligation légale ou accord écrit.</w:t>
      </w:r>
    </w:p>
    <w:p>
      <w:pPr>
        <w:pStyle w:val="ListParagraph"/>
        <w:numPr>
          <w:ilvl w:val="0"/>
          <w:numId w:val="2"/>
        </w:numPr>
        <w:spacing w:after="70" w:line="270"/>
        <w:jc w:val="both"/>
      </w:pPr>
      <w:r>
        <w:t xml:space="preserve">Frais : chaque Partie supporte ses frais, sous réserve de l’Article 9 pour les droits d’enregistrement.</w:t>
      </w:r>
    </w:p>
    <w:p>
      <w:pPr>
        <w:pStyle w:val="ListParagraph"/>
        <w:numPr>
          <w:ilvl w:val="0"/>
          <w:numId w:val="2"/>
        </w:numPr>
        <w:spacing w:after="70" w:line="270"/>
        <w:jc w:val="both"/>
      </w:pPr>
      <w:r>
        <w:t xml:space="preserve">Intégralité : la convention exprime l’intégralité de l’accord des Parties sur son objet.</w:t>
      </w:r>
    </w:p>
    <w:p>
      <w:pPr>
        <w:pStyle w:val="ListParagraph"/>
        <w:numPr>
          <w:ilvl w:val="0"/>
          <w:numId w:val="2"/>
        </w:numPr>
        <w:spacing w:after="70" w:line="270"/>
        <w:jc w:val="both"/>
      </w:pPr>
      <w:r>
        <w:t xml:space="preserve">Nullité partielle : l’invalidité d’une stipulation n’affecte pas les autres.</w:t>
      </w:r>
    </w:p>
    <w:p>
      <w:pPr>
        <w:pStyle w:val="ListParagraph"/>
        <w:numPr>
          <w:ilvl w:val="0"/>
          <w:numId w:val="2"/>
        </w:numPr>
        <w:spacing w:after="70" w:line="270"/>
        <w:jc w:val="both"/>
      </w:pPr>
      <w:r>
        <w:t xml:space="preserve">Notifications : par lettre recommandée AR ou voie électronique avec accusé de réception.</w:t>
      </w:r>
    </w:p>
    <w:p>
      <w:pPr>
        <w:pStyle w:val="Heading1"/>
      </w:pPr>
      <w:r>
        <w:t xml:space="preserve">Article 11 – Droit applicable et juridiction</w:t>
      </w:r>
    </w:p>
    <w:p>
      <w:pPr>
        <w:spacing w:after="120" w:line="276"/>
        <w:jc w:val="both"/>
      </w:pPr>
      <w:r>
        <w:t xml:space="preserve">La présente convention est régie par le droit français. Tout différend sera soumis, à défaut de règlement amiable, [à la compétence exclusive du Tribunal de commerce de Paris / à l’arbitrage selon le règlement [•]].</w:t>
      </w:r>
    </w:p>
    <w:p>
      <w:r>
        <w:br w:type="page"/>
      </w:r>
    </w:p>
    <w:p>
      <w:pPr>
        <w:pStyle w:val="Heading1"/>
      </w:pPr>
      <w:r>
        <w:t xml:space="preserve">Signatures</w:t>
      </w:r>
    </w:p>
    <w:p>
      <w:pPr>
        <w:spacing w:after="120" w:line="276"/>
        <w:jc w:val="both"/>
      </w:pPr>
      <w:r>
        <w:t xml:space="preserve">Fait à [•], le [•], en autant d’exemplaires originaux que de Parties [plus un pour l’enregistrement] [ou par voie de signature électronique conforme au règlement eIDAS].</w:t>
      </w:r>
    </w:p>
    <w:p>
      <w:pPr>
        <w:spacing w:after="360" w:before="400"/>
      </w:pPr>
      <w:r>
        <w:rPr>
          <w:b/>
          <w:bCs/>
        </w:rPr>
        <w:t xml:space="preserve">Le Cédant :</w:t>
      </w:r>
    </w:p>
    <w:p>
      <w:r>
        <w:rPr>
          <w:color w:val="888888"/>
        </w:rPr>
        <w:t xml:space="preserve">_______________________________</w:t>
      </w:r>
    </w:p>
    <w:p>
      <w:pPr>
        <w:spacing w:after="120"/>
      </w:pPr>
      <w:r>
        <w:rPr>
          <w:color w:val="555555"/>
        </w:rPr>
        <w:t xml:space="preserve">[Nom – qualité]</w:t>
      </w:r>
    </w:p>
    <w:p>
      <w:pPr>
        <w:spacing w:after="360" w:before="400"/>
      </w:pPr>
      <w:r>
        <w:rPr>
          <w:b/>
          <w:bCs/>
        </w:rPr>
        <w:t xml:space="preserve">Le Cessionnaire :</w:t>
      </w:r>
    </w:p>
    <w:p>
      <w:r>
        <w:rPr>
          <w:color w:val="888888"/>
        </w:rPr>
        <w:t xml:space="preserve">_______________________________</w:t>
      </w:r>
    </w:p>
    <w:p>
      <w:pPr>
        <w:spacing w:after="120"/>
      </w:pPr>
      <w:r>
        <w:rPr>
          <w:color w:val="555555"/>
        </w:rPr>
        <w:t xml:space="preserve">[Nom – qualité]</w:t>
      </w:r>
    </w:p>
    <w:p>
      <w:pPr>
        <w:spacing w:after="360" w:before="400"/>
      </w:pPr>
      <w:r>
        <w:rPr>
          <w:b/>
          <w:bCs/>
        </w:rPr>
        <w:t xml:space="preserve">La Société (pour inscription) :</w:t>
      </w:r>
    </w:p>
    <w:p>
      <w:r>
        <w:rPr>
          <w:color w:val="888888"/>
        </w:rPr>
        <w:t xml:space="preserve">_______________________________</w:t>
      </w:r>
    </w:p>
    <w:p>
      <w:pPr>
        <w:spacing w:after="120"/>
      </w:pPr>
      <w:r>
        <w:rPr>
          <w:color w:val="555555"/>
        </w:rPr>
        <w:t xml:space="preserve">[Nom – qualité]</w:t>
      </w:r>
    </w:p>
    <w:p>
      <w:r>
        <w:br w:type="page"/>
      </w:r>
    </w:p>
    <w:p>
      <w:pPr>
        <w:pStyle w:val="Heading1"/>
      </w:pPr>
      <w:r>
        <w:t xml:space="preserve">Annexes</w:t>
      </w:r>
    </w:p>
    <w:p>
      <w:pPr>
        <w:pStyle w:val="ListParagraph"/>
        <w:numPr>
          <w:ilvl w:val="0"/>
          <w:numId w:val="2"/>
        </w:numPr>
        <w:spacing w:after="70" w:line="270"/>
        <w:jc w:val="both"/>
      </w:pPr>
      <w:r>
        <w:t xml:space="preserve">Annexe 1 – Ordre de mouvement de titres.</w:t>
      </w:r>
    </w:p>
    <w:p>
      <w:pPr>
        <w:pStyle w:val="ListParagraph"/>
        <w:numPr>
          <w:ilvl w:val="0"/>
          <w:numId w:val="2"/>
        </w:numPr>
        <w:spacing w:after="70" w:line="270"/>
        <w:jc w:val="both"/>
      </w:pPr>
      <w:r>
        <w:t xml:space="preserve">Annexe 2 – Justificatifs de la purge des Droits Préalables (agrément, renonciations à préemption).</w:t>
      </w:r>
    </w:p>
    <w:p>
      <w:pPr>
        <w:pStyle w:val="ListParagraph"/>
        <w:numPr>
          <w:ilvl w:val="0"/>
          <w:numId w:val="2"/>
        </w:numPr>
        <w:spacing w:after="70" w:line="270"/>
        <w:jc w:val="both"/>
      </w:pPr>
      <w:r>
        <w:t xml:space="preserve">Annexe 3 – Acte d’adhésion au pacte d’actionnaires (le cas échéant).</w:t>
      </w:r>
    </w:p>
    <w:p>
      <w:pPr>
        <w:pBdr>
          <w:top w:val="single" w:color="C00000" w:sz="4" w:space="6"/>
        </w:pBdr>
        <w:spacing w:before="300"/>
      </w:pPr>
      <w:r>
        <w:rPr>
          <w:b/>
          <w:bCs/>
          <w:color w:val="C00000"/>
          <w:sz w:val="18"/>
          <w:szCs w:val="18"/>
        </w:rPr>
        <w:t xml:space="preserve">Note de rédaction (à supprimer avant diffusion) : </w:t>
      </w:r>
      <w:r>
        <w:rPr>
          <w:i/>
          <w:iCs/>
          <w:color w:val="C00000"/>
          <w:sz w:val="18"/>
          <w:szCs w:val="18"/>
        </w:rPr>
        <w:t xml:space="preserve">pour une cession entre investisseurs sur le marché secondaire, l’étendue des garanties est en principe limitée aux garanties de titre (Article 6) ; réserver la GAP étendue aux cessions de participation significative ou de contrôle. Vérifier impérativement la purge de l’agrément et de la préemption avant la réalisation. Enregistrement à 0,1 % (art. 726 CGI) dans le mois. À relire par un avocat.</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jc w:val="center"/>
    </w:pPr>
    <w:r>
      <w:rPr>
        <w:color w:val="808080"/>
        <w:sz w:val="15"/>
        <w:szCs w:val="15"/>
      </w:rPr>
      <w:t xml:space="preserve">Page </w:t>
    </w:r>
    <w:r>
      <w:rPr>
        <w:color w:val="808080"/>
        <w:sz w:val="15"/>
        <w:szCs w:val="15"/>
      </w:rPr>
      <w:fldChar w:fldCharType="begin"/>
      <w:instrText xml:space="preserve">PAGE</w:instrText>
      <w:fldChar w:fldCharType="separate"/>
      <w:fldChar w:fldCharType="end"/>
    </w:r>
    <w:r>
      <w:rPr>
        <w:color w:val="808080"/>
        <w:sz w:val="15"/>
        <w:szCs w:val="15"/>
      </w:rPr>
      <w:t xml:space="preserve"> /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tabs>
        <w:tab w:val="right" w:pos="9306"/>
      </w:tabs>
    </w:pPr>
    <w:r>
      <w:rPr>
        <w:b/>
        <w:bCs/>
        <w:color w:val="1F3864"/>
        <w:sz w:val="16"/>
        <w:szCs w:val="16"/>
      </w:rPr>
      <w:t xml:space="preserve">CONFIDENTIEL</w:t>
    </w:r>
    <w:r>
      <w:rPr>
        <w:color w:val="808080"/>
        <w:sz w:val="16"/>
        <w:szCs w:val="16"/>
      </w:rPr>
      <w:t xml:space="preserve">	Cession d’actions – </w:t>
    </w:r>
    <w:r>
      <w:rPr>
        <w:b/>
        <w:bCs/>
        <w:color w:val="C00000"/>
        <w:sz w:val="16"/>
        <w:szCs w:val="16"/>
      </w:rPr>
      <w:t xml:space="preserve">[NOM DE LA SOCIÉTÉ]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3864"/>
      <w:sz w:val="25"/>
      <w:szCs w:val="25"/>
    </w:rPr>
  </w:style>
  <w:style w:type="paragraph" w:styleId="Heading2">
    <w:name w:val="Heading 2"/>
    <w:basedOn w:val="Normal"/>
    <w:next w:val="Normal"/>
    <w:qFormat/>
    <w:pPr>
      <w:spacing w:after="100" w:before="200"/>
      <w:outlineLvl w:val="1"/>
    </w:pPr>
    <w:rPr>
      <w:rFonts w:ascii="Arial" w:cs="Arial" w:eastAsia="Arial" w:hAnsi="Arial"/>
      <w:b/>
      <w:bCs/>
      <w:color w:val="2E4A7A"/>
      <w:sz w:val="22"/>
      <w:szCs w:val="22"/>
    </w:rPr>
  </w:style>
  <w:style w:type="paragraph" w:styleId="Heading3">
    <w:name w:val="Heading 3"/>
    <w:basedOn w:val="Normal"/>
    <w:next w:val="Normal"/>
    <w:qFormat/>
    <w:pPr>
      <w:spacing w:after="60" w:before="120"/>
      <w:outlineLvl w:val="2"/>
    </w:pPr>
    <w:rPr>
      <w:rFonts w:ascii="Arial" w:cs="Arial" w:eastAsia="Arial" w:hAnsi="Arial"/>
      <w:b/>
      <w:bCs/>
      <w:i/>
      <w:iCs/>
      <w:color w:val="55555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Convention de cession d'actions</dc:title>
  <dc:creator>Convention de cession d'actions</dc:creator>
  <cp:lastModifiedBy>Un-named</cp:lastModifiedBy>
  <cp:revision>1</cp:revision>
  <dcterms:created xsi:type="dcterms:W3CDTF">2026-06-11T08:14:57.476Z</dcterms:created>
  <dcterms:modified xsi:type="dcterms:W3CDTF">2026-06-11T08:14:57.487Z</dcterms:modified>
</cp:coreProperties>
</file>

<file path=docProps/custom.xml><?xml version="1.0" encoding="utf-8"?>
<Properties xmlns="http://schemas.openxmlformats.org/officeDocument/2006/custom-properties" xmlns:vt="http://schemas.openxmlformats.org/officeDocument/2006/docPropsVTypes"/>
</file>