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center"/>
      </w:pPr>
      <w:r>
        <w:rPr>
          <w:b/>
          <w:bCs/>
          <w:color w:val="1F3864"/>
          <w:sz w:val="44"/>
          <w:szCs w:val="44"/>
        </w:rPr>
        <w:t xml:space="preserve">CONVENTION DE SOUSCRIPTION</w:t>
      </w:r>
    </w:p>
    <w:p>
      <w:pPr>
        <w:spacing w:after="60"/>
        <w:jc w:val="center"/>
      </w:pPr>
      <w:r>
        <w:rPr>
          <w:b/>
          <w:bCs/>
          <w:color w:val="1F3864"/>
          <w:sz w:val="44"/>
          <w:szCs w:val="44"/>
        </w:rPr>
        <w:t xml:space="preserve">D’ACTIONS</w:t>
      </w:r>
    </w:p>
    <w:p>
      <w:pPr>
        <w:spacing w:after="900"/>
        <w:jc w:val="center"/>
      </w:pPr>
      <w:r>
        <w:rPr>
          <w:i/>
          <w:iCs/>
          <w:color w:val="555555"/>
          <w:sz w:val="24"/>
          <w:szCs w:val="24"/>
        </w:rPr>
        <w:t xml:space="preserve">(Souscription à une augmentation de capital réservée)</w:t>
      </w:r>
    </w:p>
    <w:p>
      <w:pPr>
        <w:spacing w:after="40"/>
        <w:jc w:val="center"/>
      </w:pPr>
      <w:r>
        <w:rPr>
          <w:sz w:val="22"/>
          <w:szCs w:val="22"/>
        </w:rPr>
        <w:t xml:space="preserve">relative à la société</w:t>
      </w:r>
    </w:p>
    <w:p>
      <w:pPr>
        <w:spacing w:after="900"/>
        <w:jc w:val="center"/>
      </w:pPr>
      <w:r>
        <w:rPr>
          <w:b/>
          <w:bCs/>
          <w:color w:val="C00000"/>
          <w:sz w:val="30"/>
          <w:szCs w:val="30"/>
        </w:rPr>
        <w:t xml:space="preserve">[DÉNOMINATION DE LA SOCIÉTÉ] – SAS</w:t>
      </w:r>
    </w:p>
    <w:p>
      <w:pPr>
        <w:jc w:val="center"/>
      </w:pPr>
      <w:r>
        <w:rPr>
          <w:b/>
          <w:bCs/>
          <w:color w:val="C00000"/>
          <w:sz w:val="20"/>
          <w:szCs w:val="20"/>
        </w:rPr>
        <w:t xml:space="preserve">En date du [•]</w:t>
      </w:r>
    </w:p>
    <w:p>
      <w:r>
        <w:br w:type="page"/>
      </w:r>
    </w:p>
    <w:p>
      <w:pPr>
        <w:spacing w:after="160"/>
      </w:pPr>
      <w:r>
        <w:rPr>
          <w:b/>
          <w:bCs/>
          <w:color w:val="1F3864"/>
          <w:sz w:val="26"/>
          <w:szCs w:val="26"/>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Entre les soussignés</w:t>
      </w:r>
    </w:p>
    <w:p>
      <w:pPr>
        <w:spacing w:after="120" w:line="276"/>
        <w:jc w:val="both"/>
      </w:pPr>
      <w:r>
        <w:rPr>
          <w:b/>
          <w:bCs/>
        </w:rPr>
        <w:t xml:space="preserve">1. La Société – </w:t>
      </w:r>
      <w:r>
        <w:rPr>
          <w:b/>
          <w:bCs/>
          <w:color w:val="C00000"/>
        </w:rPr>
        <w:t xml:space="preserve">[DÉNOMINATION]</w:t>
      </w:r>
      <w:r>
        <w:t xml:space="preserve">, SAS au capital de </w:t>
      </w:r>
      <w:r>
        <w:rPr>
          <w:b/>
          <w:bCs/>
          <w:color w:val="C00000"/>
        </w:rPr>
        <w:t xml:space="preserve">[•] €</w:t>
      </w:r>
      <w:r>
        <w:t xml:space="preserve">, siège social </w:t>
      </w:r>
      <w:r>
        <w:rPr>
          <w:b/>
          <w:bCs/>
          <w:color w:val="C00000"/>
        </w:rPr>
        <w:t xml:space="preserve">[ADRESSE]</w:t>
      </w:r>
      <w:r>
        <w:t xml:space="preserve">, RCS de </w:t>
      </w:r>
      <w:r>
        <w:rPr>
          <w:b/>
          <w:bCs/>
          <w:color w:val="C00000"/>
        </w:rPr>
        <w:t xml:space="preserve">[VILLE]</w:t>
      </w:r>
      <w:r>
        <w:t xml:space="preserve"> n° </w:t>
      </w:r>
      <w:r>
        <w:rPr>
          <w:b/>
          <w:bCs/>
          <w:color w:val="C00000"/>
        </w:rPr>
        <w:t xml:space="preserve">[•]</w:t>
      </w:r>
      <w:r>
        <w:t xml:space="preserve">, représentée par son Président dûment habilité,</w:t>
      </w:r>
    </w:p>
    <w:p>
      <w:pPr>
        <w:spacing w:after="120" w:line="276"/>
        <w:jc w:val="both"/>
      </w:pPr>
      <w:r>
        <w:t xml:space="preserve">ci-après la « Société »,</w:t>
      </w:r>
    </w:p>
    <w:p>
      <w:pPr>
        <w:spacing w:after="120" w:line="276"/>
        <w:jc w:val="both"/>
      </w:pPr>
      <w:r>
        <w:rPr>
          <w:b/>
          <w:bCs/>
        </w:rPr>
        <w:t xml:space="preserve">2. Le(s) Fondateur(s) – </w:t>
      </w:r>
      <w:r>
        <w:rPr>
          <w:b/>
          <w:bCs/>
          <w:color w:val="C00000"/>
        </w:rPr>
        <w:t xml:space="preserve">[NOM PRÉNOM, coordonnées]</w:t>
      </w:r>
      <w:r>
        <w:t xml:space="preserve">,</w:t>
      </w:r>
    </w:p>
    <w:p>
      <w:pPr>
        <w:spacing w:after="120" w:line="276"/>
        <w:jc w:val="both"/>
      </w:pPr>
      <w:r>
        <w:t xml:space="preserve">ci-après le(s) « Fondateur(s) », intervenant aux présentes au titre des Articles 7 et 8,</w:t>
      </w:r>
    </w:p>
    <w:p>
      <w:pPr>
        <w:spacing w:after="120" w:line="276"/>
        <w:jc w:val="both"/>
      </w:pPr>
      <w:r>
        <w:rPr>
          <w:b/>
          <w:bCs/>
        </w:rPr>
        <w:t xml:space="preserve">3. Le(s) Souscripteur(s) – </w:t>
      </w:r>
      <w:r>
        <w:t xml:space="preserve">le(s) investisseur(s) figurant en Annexe 1,</w:t>
      </w:r>
    </w:p>
    <w:p>
      <w:pPr>
        <w:spacing w:after="120" w:line="276"/>
        <w:jc w:val="both"/>
      </w:pPr>
      <w:r>
        <w:t xml:space="preserve">ci-après dénommé(s) ensemble les « Souscripteurs » (ou les « Investisseurs ») et individuellement un « Souscripteur »,</w:t>
      </w:r>
    </w:p>
    <w:p>
      <w:pPr>
        <w:spacing w:after="120" w:line="276"/>
        <w:jc w:val="both"/>
      </w:pPr>
      <w:r>
        <w:rPr>
          <w:b/>
          <w:bCs/>
        </w:rPr>
        <w:t xml:space="preserve">Les soussignés étant ci-après dénommés ensemble les « Parties ».</w:t>
      </w:r>
    </w:p>
    <w:p>
      <w:pPr>
        <w:pStyle w:val="Heading1"/>
      </w:pPr>
      <w:r>
        <w:t xml:space="preserve">Préambule</w:t>
      </w:r>
    </w:p>
    <w:p>
      <w:pPr>
        <w:pStyle w:val="ListParagraph"/>
        <w:numPr>
          <w:ilvl w:val="0"/>
          <w:numId w:val="2"/>
        </w:numPr>
        <w:spacing w:after="70" w:line="270"/>
        <w:jc w:val="both"/>
      </w:pPr>
      <w:r>
        <w:t xml:space="preserve">La collectivité des associés de la Société a décidé [ou décidera, sous condition de la présente convention] une augmentation de capital en numéraire par émission d’actions de préférence, avec suppression du droit préférentiel de souscription au profit des Souscripteurs (l’« Augmentation de Capital »).</w:t>
      </w:r>
    </w:p>
    <w:p>
      <w:pPr>
        <w:pStyle w:val="ListParagraph"/>
        <w:numPr>
          <w:ilvl w:val="0"/>
          <w:numId w:val="2"/>
        </w:numPr>
        <w:spacing w:after="70" w:line="270"/>
        <w:jc w:val="both"/>
      </w:pPr>
      <w:r>
        <w:t xml:space="preserve">Les Souscripteurs souhaitent souscrire à cette émission aux conditions ci-après, lesquelles complètent le pacte d’actionnaires et les statuts conclus ou adoptés concomitamment.</w:t>
      </w:r>
    </w:p>
    <w:p>
      <w:pPr>
        <w:pStyle w:val="ListParagraph"/>
        <w:numPr>
          <w:ilvl w:val="0"/>
          <w:numId w:val="2"/>
        </w:numPr>
        <w:spacing w:after="70" w:line="270"/>
        <w:jc w:val="both"/>
      </w:pPr>
      <w:r>
        <w:t xml:space="preserve">La présente convention a pour objet de définir les termes et conditions de la souscription, les conditions suspensives, les modalités de réalisation et les déclarations et garanties consenties aux Souscripteurs.</w:t>
      </w:r>
    </w:p>
    <w:p>
      <w:pPr>
        <w:spacing w:after="120" w:line="276"/>
        <w:jc w:val="both"/>
      </w:pPr>
      <w:r>
        <w:rPr>
          <w:b/>
          <w:bCs/>
        </w:rPr>
        <w:t xml:space="preserve">Ceci exposé, il a été convenu ce qui suit.</w:t>
      </w:r>
    </w:p>
    <w:p>
      <w:pPr>
        <w:pStyle w:val="Heading1"/>
      </w:pPr>
      <w:r>
        <w:t xml:space="preserve">Article 1 – Objet de la souscription</w:t>
      </w:r>
    </w:p>
    <w:p>
      <w:pPr>
        <w:spacing w:after="120" w:line="276"/>
        <w:jc w:val="both"/>
      </w:pPr>
      <w:r>
        <w:t xml:space="preserve">Sous réserve de la réalisation des conditions suspensives de l’Article 4, chaque Souscripteur s’engage irrévocablement à souscrire, et la Société à émettre à son profit, le nombre d’actions de préférence (les « Actions Nouvelles ») figurant en regard de son nom en Annexe 1, moyennant le versement du prix de souscription correspondant.</w:t>
      </w:r>
    </w:p>
    <w:p>
      <w:pPr>
        <w:pStyle w:val="Heading1"/>
      </w:pPr>
      <w:r>
        <w:t xml:space="preserve">Article 2 – Caractéristiques de l’émission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c>
          <w:tcPr>
            <w:tcW w:type="dxa" w:w="4653"/>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pPr>
              <w:jc w:val="left"/>
            </w:pPr>
            <w:r>
              <w:rPr>
                <w:b/>
                <w:bCs/>
                <w:color w:val="FFFFFF"/>
              </w:rPr>
              <w:t xml:space="preserve">Élément</w:t>
            </w:r>
          </w:p>
        </w:tc>
        <w:tc>
          <w:tcPr>
            <w:tcW w:type="dxa" w:w="4653"/>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vAlign w:val="top"/>
          </w:tcPr>
          <w:p>
            <w:pPr>
              <w:jc w:val="left"/>
            </w:pPr>
            <w:r>
              <w:rPr>
                <w:b/>
                <w:bCs/>
                <w:color w:val="FFFFFF"/>
              </w:rPr>
              <w:t xml:space="preserve">Valeur</w:t>
            </w:r>
          </w:p>
        </w:tc>
      </w:tr>
      <w:tr>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bCs/>
                <w:color w:val="000000"/>
              </w:rPr>
              <w:t xml:space="preserve">Nombre d’Actions Nouvelles</w:t>
            </w:r>
          </w:p>
        </w:tc>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val="false"/>
                <w:bCs w:val="false"/>
                <w:color w:val="000000"/>
              </w:rPr>
              <w:t xml:space="preserve">[•] actions de préférence</w:t>
            </w:r>
          </w:p>
        </w:tc>
      </w:tr>
      <w:tr>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bCs/>
                <w:color w:val="000000"/>
              </w:rPr>
              <w:t xml:space="preserve">Valeur nominale</w:t>
            </w:r>
          </w:p>
        </w:tc>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val="false"/>
                <w:bCs w:val="false"/>
                <w:color w:val="000000"/>
              </w:rPr>
              <w:t xml:space="preserve">[•] € par action</w:t>
            </w:r>
          </w:p>
        </w:tc>
      </w:tr>
      <w:tr>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bCs/>
                <w:color w:val="000000"/>
              </w:rPr>
              <w:t xml:space="preserve">Prime d’émission unitaire</w:t>
            </w:r>
          </w:p>
        </w:tc>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val="false"/>
                <w:bCs w:val="false"/>
                <w:color w:val="000000"/>
              </w:rPr>
              <w:t xml:space="preserve">[•] € par action</w:t>
            </w:r>
          </w:p>
        </w:tc>
      </w:tr>
      <w:tr>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bCs/>
                <w:color w:val="000000"/>
              </w:rPr>
              <w:t xml:space="preserve">Prix de souscription unitaire</w:t>
            </w:r>
          </w:p>
        </w:tc>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val="false"/>
                <w:bCs w:val="false"/>
                <w:color w:val="000000"/>
              </w:rPr>
              <w:t xml:space="preserve">[•] € par action</w:t>
            </w:r>
          </w:p>
        </w:tc>
      </w:tr>
      <w:tr>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bCs/>
                <w:color w:val="000000"/>
              </w:rPr>
              <w:t xml:space="preserve">Montant nominal de l’augmentation</w:t>
            </w:r>
          </w:p>
        </w:tc>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val="false"/>
                <w:bCs w:val="false"/>
                <w:color w:val="000000"/>
              </w:rPr>
              <w:t xml:space="preserve">[•] €</w:t>
            </w:r>
          </w:p>
        </w:tc>
      </w:tr>
      <w:tr>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bCs/>
                <w:color w:val="000000"/>
              </w:rPr>
              <w:t xml:space="preserve">Montant total (prime incluse)</w:t>
            </w:r>
          </w:p>
        </w:tc>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val="false"/>
                <w:bCs w:val="false"/>
                <w:color w:val="000000"/>
              </w:rPr>
              <w:t xml:space="preserve">[•] €</w:t>
            </w:r>
          </w:p>
        </w:tc>
      </w:tr>
      <w:tr>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bCs/>
                <w:color w:val="000000"/>
              </w:rPr>
              <w:t xml:space="preserve">Droits attachés</w:t>
            </w:r>
          </w:p>
        </w:tc>
        <w:tc>
          <w:tcPr>
            <w:tcW w:type="dxa" w:w="4653"/>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top"/>
          </w:tcPr>
          <w:p>
            <w:pPr>
              <w:jc w:val="left"/>
            </w:pPr>
            <w:r>
              <w:rPr>
                <w:b w:val="false"/>
                <w:bCs w:val="false"/>
                <w:color w:val="000000"/>
              </w:rPr>
              <w:t xml:space="preserve">Actions de préférence dont les droits sont définis par les Statuts</w:t>
            </w:r>
          </w:p>
        </w:tc>
      </w:tr>
      <w:tr>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bCs/>
                <w:color w:val="000000"/>
              </w:rPr>
              <w:t xml:space="preserve">Date de jouissance</w:t>
            </w:r>
          </w:p>
        </w:tc>
        <w:tc>
          <w:tcPr>
            <w:tcW w:type="dxa" w:w="4653"/>
            <w:tcBorders>
              <w:top w:val="single" w:color="BBBBBB" w:sz="1"/>
              <w:left w:val="single" w:color="BBBBBB" w:sz="1"/>
              <w:bottom w:val="single" w:color="BBBBBB" w:sz="1"/>
              <w:right w:val="single" w:color="BBBBBB" w:sz="1"/>
            </w:tcBorders>
            <w:shd w:fill="EDF1F7" w:val="clear"/>
            <w:tcMar>
              <w:top w:type="dxa" w:w="70"/>
              <w:left w:type="dxa" w:w="110"/>
              <w:bottom w:type="dxa" w:w="70"/>
              <w:right w:type="dxa" w:w="110"/>
            </w:tcMar>
            <w:vAlign w:val="top"/>
          </w:tcPr>
          <w:p>
            <w:pPr>
              <w:jc w:val="left"/>
            </w:pPr>
            <w:r>
              <w:rPr>
                <w:b w:val="false"/>
                <w:bCs w:val="false"/>
                <w:color w:val="000000"/>
              </w:rPr>
              <w:t xml:space="preserve">À compter de leur émission</w:t>
            </w:r>
          </w:p>
        </w:tc>
      </w:tr>
    </w:tbl>
    <w:p>
      <w:pPr>
        <w:pStyle w:val="Heading1"/>
      </w:pPr>
      <w:r>
        <w:t xml:space="preserve">Article 3 – Modalités de souscription et de libération</w:t>
      </w:r>
    </w:p>
    <w:p>
      <w:pPr>
        <w:pStyle w:val="Heading3"/>
      </w:pPr>
      <w:r>
        <w:t xml:space="preserve">3.1 Bulletin de souscription</w:t>
      </w:r>
    </w:p>
    <w:p>
      <w:pPr>
        <w:spacing w:after="120" w:line="276"/>
        <w:jc w:val="both"/>
      </w:pPr>
      <w:r>
        <w:t xml:space="preserve">La souscription de chaque Souscripteur sera constatée par la signature d’un bulletin de souscription conforme au modèle figurant en Annexe 2, daigné et libéré dans les conditions du présent Article.</w:t>
      </w:r>
    </w:p>
    <w:p>
      <w:pPr>
        <w:pStyle w:val="Heading3"/>
      </w:pPr>
      <w:r>
        <w:t xml:space="preserve">3.2 Libération</w:t>
      </w:r>
    </w:p>
    <w:p>
      <w:pPr>
        <w:spacing w:after="120" w:line="276"/>
        <w:jc w:val="both"/>
      </w:pPr>
      <w:r>
        <w:t xml:space="preserve">Les Actions Nouvelles seront intégralement libérées en numéraire à la souscription, par versement du prix de souscription (nominal et prime) sur un compte ouvert au nom de la Société [auprès d’un établissement dépositaire / sur un compte bloqué], au plus tard à la Date de Réalisation. Le dépositaire établira le certificat du dépositaire constatant la libération des fonds.</w:t>
      </w:r>
    </w:p>
    <w:p>
      <w:pPr>
        <w:pStyle w:val="Heading3"/>
      </w:pPr>
      <w:r>
        <w:t xml:space="preserve">3.3 Tranches</w:t>
      </w:r>
    </w:p>
    <w:p>
      <w:pPr>
        <w:spacing w:after="120" w:line="276"/>
        <w:jc w:val="both"/>
      </w:pPr>
      <w:r>
        <w:t xml:space="preserve">[Le cas échéant] L’émission pourra être réalisée en plusieurs tranches, selon le calendrier et les conditions (notamment d’atteinte de jalons « milestones ») figurant en Annexe 3.</w:t>
      </w:r>
    </w:p>
    <w:p>
      <w:pPr>
        <w:pStyle w:val="Heading1"/>
      </w:pPr>
      <w:r>
        <w:t xml:space="preserve">Article 4 – Conditions suspensives</w:t>
      </w:r>
    </w:p>
    <w:p>
      <w:pPr>
        <w:spacing w:after="120" w:line="276"/>
        <w:jc w:val="both"/>
      </w:pPr>
      <w:r>
        <w:t xml:space="preserve">La réalisation de la souscription est subordonnée à la réalisation cumulative des conditions suivantes au plus tard à la Date Limite (les « Conditions Suspensives ») :</w:t>
      </w:r>
    </w:p>
    <w:p>
      <w:pPr>
        <w:pStyle w:val="ListParagraph"/>
        <w:numPr>
          <w:ilvl w:val="0"/>
          <w:numId w:val="2"/>
        </w:numPr>
        <w:spacing w:after="70" w:line="270"/>
        <w:jc w:val="both"/>
      </w:pPr>
      <w:r>
        <w:t xml:space="preserve">adoption par la collectivité des associés de la décision d’Augmentation de Capital et de la modification corrélative des Statuts ;</w:t>
      </w:r>
    </w:p>
    <w:p>
      <w:pPr>
        <w:pStyle w:val="ListParagraph"/>
        <w:numPr>
          <w:ilvl w:val="0"/>
          <w:numId w:val="2"/>
        </w:numPr>
        <w:spacing w:after="70" w:line="270"/>
        <w:jc w:val="both"/>
      </w:pPr>
      <w:r>
        <w:t xml:space="preserve">signature du pacte d’actionnaires par l’ensemble des parties concernées ;</w:t>
      </w:r>
    </w:p>
    <w:p>
      <w:pPr>
        <w:pStyle w:val="ListParagraph"/>
        <w:numPr>
          <w:ilvl w:val="0"/>
          <w:numId w:val="2"/>
        </w:numPr>
        <w:spacing w:after="70" w:line="270"/>
        <w:jc w:val="both"/>
      </w:pPr>
      <w:r>
        <w:t xml:space="preserve">exactitude, à la Date de Réalisation, des déclarations et garanties visées à l’Article 7 ;</w:t>
      </w:r>
    </w:p>
    <w:p>
      <w:pPr>
        <w:pStyle w:val="ListParagraph"/>
        <w:numPr>
          <w:ilvl w:val="0"/>
          <w:numId w:val="2"/>
        </w:numPr>
        <w:spacing w:after="70" w:line="270"/>
        <w:jc w:val="both"/>
      </w:pPr>
      <w:r>
        <w:t xml:space="preserve">absence de changement défavorable significatif (« MAC ») affectant la Société ;</w:t>
      </w:r>
    </w:p>
    <w:p>
      <w:pPr>
        <w:pStyle w:val="ListParagraph"/>
        <w:numPr>
          <w:ilvl w:val="0"/>
          <w:numId w:val="2"/>
        </w:numPr>
        <w:spacing w:after="70" w:line="270"/>
        <w:jc w:val="both"/>
      </w:pPr>
      <w:r>
        <w:t xml:space="preserve">obtention de l’ensemble des autorisations, consentements ou renonciations nécessaires (notamment renonciation au DPS) ;</w:t>
      </w:r>
    </w:p>
    <w:p>
      <w:pPr>
        <w:pStyle w:val="ListParagraph"/>
        <w:numPr>
          <w:ilvl w:val="0"/>
          <w:numId w:val="2"/>
        </w:numPr>
        <w:spacing w:after="70" w:line="270"/>
        <w:jc w:val="both"/>
      </w:pPr>
      <w:r>
        <w:t xml:space="preserve">remise des documents figurant sur la liste des conditions préalables (Annexe 4).</w:t>
      </w:r>
    </w:p>
    <w:p>
      <w:pPr>
        <w:spacing w:after="120" w:line="276"/>
        <w:jc w:val="both"/>
      </w:pPr>
      <w:r>
        <w:t xml:space="preserve">Les Conditions Suspensives sont stipulées dans l’intérêt des Souscripteurs, qui pourront y renoncer en tout ou partie. À défaut de réalisation à la Date Limite, la présente convention sera caduque, sans indemnité, sous réserve des manquements antérieurs.</w:t>
      </w:r>
    </w:p>
    <w:p>
      <w:pPr>
        <w:pStyle w:val="Heading1"/>
      </w:pPr>
      <w:r>
        <w:t xml:space="preserve">Article 5 – Réalisation (Closing)</w:t>
      </w:r>
    </w:p>
    <w:p>
      <w:pPr>
        <w:spacing w:after="120" w:line="276"/>
        <w:jc w:val="both"/>
      </w:pPr>
      <w:r>
        <w:t xml:space="preserve">La réalisation de la souscription (la « Date de Réalisation ») interviendra à la date de constatation de la réalisation des Conditions Suspensives. À cette date, les Parties procéderont concomitamment aux opérations suivantes :</w:t>
      </w:r>
    </w:p>
    <w:p>
      <w:pPr>
        <w:pStyle w:val="ListParagraph"/>
        <w:numPr>
          <w:ilvl w:val="0"/>
          <w:numId w:val="2"/>
        </w:numPr>
        <w:spacing w:after="70" w:line="270"/>
        <w:jc w:val="both"/>
      </w:pPr>
      <w:r>
        <w:t xml:space="preserve">signature des bulletins de souscription et versement du prix de souscription ;</w:t>
      </w:r>
    </w:p>
    <w:p>
      <w:pPr>
        <w:pStyle w:val="ListParagraph"/>
        <w:numPr>
          <w:ilvl w:val="0"/>
          <w:numId w:val="2"/>
        </w:numPr>
        <w:spacing w:after="70" w:line="270"/>
        <w:jc w:val="both"/>
      </w:pPr>
      <w:r>
        <w:t xml:space="preserve">émission par le Président du certificat du dépositaire et constatation de la réalisation définitive de l’Augmentation de Capital ;</w:t>
      </w:r>
    </w:p>
    <w:p>
      <w:pPr>
        <w:pStyle w:val="ListParagraph"/>
        <w:numPr>
          <w:ilvl w:val="0"/>
          <w:numId w:val="2"/>
        </w:numPr>
        <w:spacing w:after="70" w:line="270"/>
        <w:jc w:val="both"/>
      </w:pPr>
      <w:r>
        <w:t xml:space="preserve">inscription des Actions Nouvelles dans les comptes d’associés et mise à jour du registre des mouvements de titres ;</w:t>
      </w:r>
    </w:p>
    <w:p>
      <w:pPr>
        <w:pStyle w:val="ListParagraph"/>
        <w:numPr>
          <w:ilvl w:val="0"/>
          <w:numId w:val="2"/>
        </w:numPr>
        <w:spacing w:after="70" w:line="270"/>
        <w:jc w:val="both"/>
      </w:pPr>
      <w:r>
        <w:t xml:space="preserve">remise des registres sociaux à jour et de la table de capitalisation post-opération (Annexe 5).</w:t>
      </w:r>
    </w:p>
    <w:p>
      <w:pPr>
        <w:pStyle w:val="Heading1"/>
      </w:pPr>
      <w:r>
        <w:t xml:space="preserve">Article 6 – Engagements de la Société et des Fondateurs</w:t>
      </w:r>
    </w:p>
    <w:p>
      <w:pPr>
        <w:spacing w:after="120" w:line="276"/>
        <w:jc w:val="both"/>
      </w:pPr>
      <w:r>
        <w:t xml:space="preserve">Entre la signature et la Date de Réalisation, la Société et les Fondateurs s’engagent à gérer la Société dans le cours normal des affaires, à ne réaliser aucune opération significative hors du cours normal sans l’accord des Souscripteurs, et à informer ceux-ci de tout événement susceptible d’affecter les déclarations et garanties. Post-réalisation, la Société affectera les fonds levés conformément au plan d’utilisation des fonds (Annexe 6).</w:t>
      </w:r>
    </w:p>
    <w:p>
      <w:pPr>
        <w:pStyle w:val="Heading1"/>
      </w:pPr>
      <w:r>
        <w:t xml:space="preserve">Article 7 – Déclarations et garanties</w:t>
      </w:r>
    </w:p>
    <w:p>
      <w:pPr>
        <w:spacing w:after="120" w:line="276"/>
        <w:jc w:val="both"/>
      </w:pPr>
      <w:r>
        <w:t xml:space="preserve">La Société et les Fondateurs déclarent et garantissent aux Souscripteurs, à la date de signature et à la Date de Réalisation, l’exactitude des déclarations suivantes (les « Déclarations ») :</w:t>
      </w:r>
    </w:p>
    <w:p>
      <w:pPr>
        <w:pStyle w:val="Heading3"/>
      </w:pPr>
      <w:r>
        <w:t xml:space="preserve">7.1 Sur la Société et les Titres</w:t>
      </w:r>
    </w:p>
    <w:p>
      <w:pPr>
        <w:pStyle w:val="ListParagraph"/>
        <w:numPr>
          <w:ilvl w:val="0"/>
          <w:numId w:val="2"/>
        </w:numPr>
        <w:spacing w:after="70" w:line="270"/>
        <w:jc w:val="both"/>
      </w:pPr>
      <w:r>
        <w:t xml:space="preserve">la Société est valablement constituée, en règle de ses obligations légales et statutaires, et n’est pas en état de cessation des paiements ;</w:t>
      </w:r>
    </w:p>
    <w:p>
      <w:pPr>
        <w:pStyle w:val="ListParagraph"/>
        <w:numPr>
          <w:ilvl w:val="0"/>
          <w:numId w:val="2"/>
        </w:numPr>
        <w:spacing w:after="70" w:line="270"/>
        <w:jc w:val="both"/>
      </w:pPr>
      <w:r>
        <w:t xml:space="preserve">le capital social est intégralement souscrit et libéré ; la table de capitalisation (Annexe 5) est exacte et complète ; les Titres sont libres de tout nantissement, sûreté ou droit de Tiers ;</w:t>
      </w:r>
    </w:p>
    <w:p>
      <w:pPr>
        <w:pStyle w:val="ListParagraph"/>
        <w:numPr>
          <w:ilvl w:val="0"/>
          <w:numId w:val="2"/>
        </w:numPr>
        <w:spacing w:after="70" w:line="270"/>
        <w:jc w:val="both"/>
      </w:pPr>
      <w:r>
        <w:t xml:space="preserve">les Actions Nouvelles seront, à leur émission, valablement émises, entièrement libérées et libres de toute charge ;</w:t>
      </w:r>
    </w:p>
    <w:p>
      <w:pPr>
        <w:pStyle w:val="Heading3"/>
      </w:pPr>
      <w:r>
        <w:t xml:space="preserve">7.2 Sur l’activité et le patrimoine</w:t>
      </w:r>
    </w:p>
    <w:p>
      <w:pPr>
        <w:pStyle w:val="ListParagraph"/>
        <w:numPr>
          <w:ilvl w:val="0"/>
          <w:numId w:val="2"/>
        </w:numPr>
        <w:spacing w:after="70" w:line="270"/>
        <w:jc w:val="both"/>
      </w:pPr>
      <w:r>
        <w:t xml:space="preserve">les comptes communiqués sont sincères et donnent une image fidèle ; il n’existe aucun passif ou engagement hors bilan non révélé ;</w:t>
      </w:r>
    </w:p>
    <w:p>
      <w:pPr>
        <w:pStyle w:val="ListParagraph"/>
        <w:numPr>
          <w:ilvl w:val="0"/>
          <w:numId w:val="2"/>
        </w:numPr>
        <w:spacing w:after="70" w:line="270"/>
        <w:jc w:val="both"/>
      </w:pPr>
      <w:r>
        <w:t xml:space="preserve">la Société détient ou dispose des droits de propriété intellectuelle nécessaires à son activité, libres de revendication ;</w:t>
      </w:r>
    </w:p>
    <w:p>
      <w:pPr>
        <w:pStyle w:val="ListParagraph"/>
        <w:numPr>
          <w:ilvl w:val="0"/>
          <w:numId w:val="2"/>
        </w:numPr>
        <w:spacing w:after="70" w:line="270"/>
        <w:jc w:val="both"/>
      </w:pPr>
      <w:r>
        <w:t xml:space="preserve">la Société respecte la réglementation applicable (sociale, fiscale, données personnelles, sectorielle) et n’est partie à aucun litige significatif non révélé ;</w:t>
      </w:r>
    </w:p>
    <w:p>
      <w:pPr>
        <w:pStyle w:val="ListParagraph"/>
        <w:numPr>
          <w:ilvl w:val="0"/>
          <w:numId w:val="2"/>
        </w:numPr>
        <w:spacing w:after="70" w:line="270"/>
        <w:jc w:val="both"/>
      </w:pPr>
      <w:r>
        <w:t xml:space="preserve">les contrats significatifs sont valides et ne comportent pas de clause de changement de contrôle susceptible d’être déclenchée par l’opération, sauf indication contraire ;</w:t>
      </w:r>
    </w:p>
    <w:p>
      <w:pPr>
        <w:spacing w:after="120" w:line="276"/>
        <w:jc w:val="both"/>
      </w:pPr>
      <w:r>
        <w:t xml:space="preserve">Les Déclarations sont complétées et, le cas échéant, tempérées par les exceptions figurant dans l’annexe de divulgation (« disclosure schedule », Annexe 7).</w:t>
      </w:r>
    </w:p>
    <w:p>
      <w:pPr>
        <w:pStyle w:val="Heading1"/>
      </w:pPr>
      <w:r>
        <w:t xml:space="preserve">Article 8 – Indemnisation (garantie d’actif et de passif)</w:t>
      </w:r>
    </w:p>
    <w:p>
      <w:pPr>
        <w:spacing w:after="120" w:line="276"/>
        <w:jc w:val="both"/>
      </w:pPr>
      <w:r>
        <w:t xml:space="preserve">La Société et les Fondateurs s’engagent à indemniser les Souscripteurs de tout préjudice résultant de l’inexactitude d’une Déclaration ou d’un passif dont le fait générateur est antérieur à la Date de Réalisation, selon les modalités suivantes :</w:t>
      </w:r>
    </w:p>
    <w:p>
      <w:pPr>
        <w:pStyle w:val="ListParagraph"/>
        <w:numPr>
          <w:ilvl w:val="0"/>
          <w:numId w:val="2"/>
        </w:numPr>
        <w:spacing w:after="70" w:line="270"/>
        <w:jc w:val="both"/>
      </w:pPr>
      <w:r>
        <w:rPr>
          <w:b/>
          <w:bCs/>
        </w:rPr>
        <w:t xml:space="preserve">Seuil de déclenchement (« threshold ») : </w:t>
      </w:r>
      <w:r>
        <w:t xml:space="preserve">aucune indemnisation due tant que le montant cumulé des préjudices n’atteint pas [•] € ;</w:t>
      </w:r>
    </w:p>
    <w:p>
      <w:pPr>
        <w:pStyle w:val="ListParagraph"/>
        <w:numPr>
          <w:ilvl w:val="0"/>
          <w:numId w:val="2"/>
        </w:numPr>
        <w:spacing w:after="70" w:line="270"/>
        <w:jc w:val="both"/>
      </w:pPr>
      <w:r>
        <w:rPr>
          <w:b/>
          <w:bCs/>
        </w:rPr>
        <w:t xml:space="preserve">Franchise / panier (« basket ») : </w:t>
      </w:r>
      <w:r>
        <w:t xml:space="preserve">[•] €, l’indemnisation étant due [au premier euro / au-delà de la franchise] ;</w:t>
      </w:r>
    </w:p>
    <w:p>
      <w:pPr>
        <w:pStyle w:val="ListParagraph"/>
        <w:numPr>
          <w:ilvl w:val="0"/>
          <w:numId w:val="2"/>
        </w:numPr>
        <w:spacing w:after="70" w:line="270"/>
        <w:jc w:val="both"/>
      </w:pPr>
      <w:r>
        <w:rPr>
          <w:b/>
          <w:bCs/>
        </w:rPr>
        <w:t xml:space="preserve">Plafond (« cap ») : </w:t>
      </w:r>
      <w:r>
        <w:t xml:space="preserve">l’indemnisation est plafonnée à [•] [% du montant investi] ; [plafond spécifique pour les matières fiscales et sociales] ;</w:t>
      </w:r>
    </w:p>
    <w:p>
      <w:pPr>
        <w:pStyle w:val="ListParagraph"/>
        <w:numPr>
          <w:ilvl w:val="0"/>
          <w:numId w:val="2"/>
        </w:numPr>
        <w:spacing w:after="70" w:line="270"/>
        <w:jc w:val="both"/>
      </w:pPr>
      <w:r>
        <w:rPr>
          <w:b/>
          <w:bCs/>
        </w:rPr>
        <w:t xml:space="preserve">Durée : </w:t>
      </w:r>
      <w:r>
        <w:t xml:space="preserve">les Déclarations sont garanties pendant [•] mois, et [•] (prescription majorée) pour les matières fiscales, sociales et pénales ;</w:t>
      </w:r>
    </w:p>
    <w:p>
      <w:pPr>
        <w:pStyle w:val="ListParagraph"/>
        <w:numPr>
          <w:ilvl w:val="0"/>
          <w:numId w:val="2"/>
        </w:numPr>
        <w:spacing w:after="70" w:line="270"/>
        <w:jc w:val="both"/>
      </w:pPr>
      <w:r>
        <w:rPr>
          <w:b/>
          <w:bCs/>
        </w:rPr>
        <w:t xml:space="preserve">Modalités : </w:t>
      </w:r>
      <w:r>
        <w:t xml:space="preserve">notification dans les [•] jours, gestion concertée des réclamations de Tiers, [garantie de la garantie : séquestre / caution / garantie à première demande].</w:t>
      </w:r>
    </w:p>
    <w:p>
      <w:pPr>
        <w:spacing w:after="120" w:line="276"/>
        <w:jc w:val="both"/>
      </w:pPr>
      <w:r>
        <w:t xml:space="preserve">[Variante : ces stipulations peuvent faire l’objet d’une convention de garantie d’actif et de passif distincte, le présent Article y renvoyant.]</w:t>
      </w:r>
    </w:p>
    <w:p>
      <w:pPr>
        <w:pStyle w:val="Heading1"/>
      </w:pPr>
      <w:r>
        <w:t xml:space="preserve">Article 9 – Confidentialité</w:t>
      </w:r>
    </w:p>
    <w:p>
      <w:pPr>
        <w:spacing w:after="120" w:line="276"/>
        <w:jc w:val="both"/>
      </w:pPr>
      <w:r>
        <w:t xml:space="preserve">Les Parties s’engagent à maintenir confidentiels la présente convention et son contenu, ainsi que les informations échangées à son occasion, sauf obligation légale, judiciaire ou réglementaire, ou accord écrit préalable.</w:t>
      </w:r>
    </w:p>
    <w:p>
      <w:pPr>
        <w:pStyle w:val="Heading1"/>
      </w:pPr>
      <w:r>
        <w:t xml:space="preserve">Article 10 – Stipulations diverses</w:t>
      </w:r>
    </w:p>
    <w:p>
      <w:pPr>
        <w:pStyle w:val="ListParagraph"/>
        <w:numPr>
          <w:ilvl w:val="0"/>
          <w:numId w:val="2"/>
        </w:numPr>
        <w:spacing w:after="70" w:line="270"/>
        <w:jc w:val="both"/>
      </w:pPr>
      <w:r>
        <w:t xml:space="preserve">Frais : chaque Partie supporte ses propres frais, sauf stipulation contraire. [Variante : les frais raisonnables de la Société sont imputés sur le produit de l’émission dans la limite de [•] €.]</w:t>
      </w:r>
    </w:p>
    <w:p>
      <w:pPr>
        <w:pStyle w:val="ListParagraph"/>
        <w:numPr>
          <w:ilvl w:val="0"/>
          <w:numId w:val="2"/>
        </w:numPr>
        <w:spacing w:after="70" w:line="270"/>
        <w:jc w:val="both"/>
      </w:pPr>
      <w:r>
        <w:t xml:space="preserve">Intégralité et indivisibilité : la présente convention, le pacte d’actionnaires et les Statuts forment un ensemble contractuel indivisible.</w:t>
      </w:r>
    </w:p>
    <w:p>
      <w:pPr>
        <w:pStyle w:val="ListParagraph"/>
        <w:numPr>
          <w:ilvl w:val="0"/>
          <w:numId w:val="2"/>
        </w:numPr>
        <w:spacing w:after="70" w:line="270"/>
        <w:jc w:val="both"/>
      </w:pPr>
      <w:r>
        <w:t xml:space="preserve">Cession : la convention ne peut être cédée sans l’accord des Parties, sous réserve des transferts à un affilié d’un Souscripteur.</w:t>
      </w:r>
    </w:p>
    <w:p>
      <w:pPr>
        <w:pStyle w:val="ListParagraph"/>
        <w:numPr>
          <w:ilvl w:val="0"/>
          <w:numId w:val="2"/>
        </w:numPr>
        <w:spacing w:after="70" w:line="270"/>
        <w:jc w:val="both"/>
      </w:pPr>
      <w:r>
        <w:t xml:space="preserve">Notifications : par lettre recommandée AR ou voie électronique avec accusé, aux adresses de l’Annexe 1.</w:t>
      </w:r>
    </w:p>
    <w:p>
      <w:pPr>
        <w:pStyle w:val="Heading1"/>
      </w:pPr>
      <w:r>
        <w:t xml:space="preserve">Article 11 – Droit applicable et juridiction</w:t>
      </w:r>
    </w:p>
    <w:p>
      <w:pPr>
        <w:spacing w:after="120" w:line="276"/>
        <w:jc w:val="both"/>
      </w:pPr>
      <w:r>
        <w:t xml:space="preserve">La présente convention est régie par le droit français. Tout différend sera soumis, à défaut de règlement amiable, [à la compétence exclusive du Tribunal de commerce de Paris / à l’arbitrage selon le règlement [•]].</w:t>
      </w:r>
    </w:p>
    <w:p>
      <w:r>
        <w:br w:type="page"/>
      </w:r>
    </w:p>
    <w:p>
      <w:pPr>
        <w:pStyle w:val="Heading1"/>
      </w:pPr>
      <w:r>
        <w:t xml:space="preserve">Signatures</w:t>
      </w:r>
    </w:p>
    <w:p>
      <w:pPr>
        <w:spacing w:after="120" w:line="276"/>
        <w:jc w:val="both"/>
      </w:pPr>
      <w:r>
        <w:t xml:space="preserve">Fait à [•], le [•], en autant d’exemplaires originaux que de Parties [ou par voie de signature électronique conforme au règlement eIDAS].</w:t>
      </w:r>
    </w:p>
    <w:p>
      <w:pPr>
        <w:spacing w:after="360" w:before="400"/>
      </w:pPr>
      <w:r>
        <w:rPr>
          <w:b/>
          <w:bCs/>
        </w:rPr>
        <w:t xml:space="preserve">Pour la Société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Pour le(s) Fondateur(s) :</w:t>
      </w:r>
    </w:p>
    <w:p>
      <w:r>
        <w:rPr>
          <w:color w:val="888888"/>
        </w:rPr>
        <w:t xml:space="preserve">_______________________________</w:t>
      </w:r>
    </w:p>
    <w:p>
      <w:pPr>
        <w:spacing w:after="120"/>
      </w:pPr>
      <w:r>
        <w:rPr>
          <w:color w:val="555555"/>
        </w:rPr>
        <w:t xml:space="preserve">[Nom – qualité]</w:t>
      </w:r>
    </w:p>
    <w:p>
      <w:pPr>
        <w:spacing w:after="360" w:before="400"/>
      </w:pPr>
      <w:r>
        <w:rPr>
          <w:b/>
          <w:bCs/>
        </w:rPr>
        <w:t xml:space="preserve">Pour le(s) Souscripteur(s) :</w:t>
      </w:r>
    </w:p>
    <w:p>
      <w:r>
        <w:rPr>
          <w:color w:val="888888"/>
        </w:rPr>
        <w:t xml:space="preserve">_______________________________</w:t>
      </w:r>
    </w:p>
    <w:p>
      <w:pPr>
        <w:spacing w:after="120"/>
      </w:pPr>
      <w:r>
        <w:rPr>
          <w:color w:val="555555"/>
        </w:rPr>
        <w:t xml:space="preserve">[Nom – qualité]</w:t>
      </w:r>
    </w:p>
    <w:p>
      <w:r>
        <w:br w:type="page"/>
      </w:r>
    </w:p>
    <w:p>
      <w:pPr>
        <w:pStyle w:val="Heading1"/>
      </w:pPr>
      <w:r>
        <w:t xml:space="preserve">Annexes</w:t>
      </w:r>
    </w:p>
    <w:p>
      <w:pPr>
        <w:pStyle w:val="ListParagraph"/>
        <w:numPr>
          <w:ilvl w:val="0"/>
          <w:numId w:val="2"/>
        </w:numPr>
        <w:spacing w:after="70" w:line="270"/>
        <w:jc w:val="both"/>
      </w:pPr>
      <w:r>
        <w:t xml:space="preserve">Annexe 1 – Liste des Souscripteurs, nombre d’Actions Nouvelles et montants souscrits.</w:t>
      </w:r>
    </w:p>
    <w:p>
      <w:pPr>
        <w:pStyle w:val="ListParagraph"/>
        <w:numPr>
          <w:ilvl w:val="0"/>
          <w:numId w:val="2"/>
        </w:numPr>
        <w:spacing w:after="70" w:line="270"/>
        <w:jc w:val="both"/>
      </w:pPr>
      <w:r>
        <w:t xml:space="preserve">Annexe 2 – Modèle de bulletin de souscription.</w:t>
      </w:r>
    </w:p>
    <w:p>
      <w:pPr>
        <w:pStyle w:val="ListParagraph"/>
        <w:numPr>
          <w:ilvl w:val="0"/>
          <w:numId w:val="2"/>
        </w:numPr>
        <w:spacing w:after="70" w:line="270"/>
        <w:jc w:val="both"/>
      </w:pPr>
      <w:r>
        <w:t xml:space="preserve">Annexe 3 – Calendrier et conditions des tranches (le cas échéant).</w:t>
      </w:r>
    </w:p>
    <w:p>
      <w:pPr>
        <w:pStyle w:val="ListParagraph"/>
        <w:numPr>
          <w:ilvl w:val="0"/>
          <w:numId w:val="2"/>
        </w:numPr>
        <w:spacing w:after="70" w:line="270"/>
        <w:jc w:val="both"/>
      </w:pPr>
      <w:r>
        <w:t xml:space="preserve">Annexe 4 – Liste des conditions préalables et documents à remettre.</w:t>
      </w:r>
    </w:p>
    <w:p>
      <w:pPr>
        <w:pStyle w:val="ListParagraph"/>
        <w:numPr>
          <w:ilvl w:val="0"/>
          <w:numId w:val="2"/>
        </w:numPr>
        <w:spacing w:after="70" w:line="270"/>
        <w:jc w:val="both"/>
      </w:pPr>
      <w:r>
        <w:t xml:space="preserve">Annexe 5 – Table de capitalisation avant / après opération.</w:t>
      </w:r>
    </w:p>
    <w:p>
      <w:pPr>
        <w:pStyle w:val="ListParagraph"/>
        <w:numPr>
          <w:ilvl w:val="0"/>
          <w:numId w:val="2"/>
        </w:numPr>
        <w:spacing w:after="70" w:line="270"/>
        <w:jc w:val="both"/>
      </w:pPr>
      <w:r>
        <w:t xml:space="preserve">Annexe 6 – Plan d’utilisation des fonds.</w:t>
      </w:r>
    </w:p>
    <w:p>
      <w:pPr>
        <w:pStyle w:val="ListParagraph"/>
        <w:numPr>
          <w:ilvl w:val="0"/>
          <w:numId w:val="2"/>
        </w:numPr>
        <w:spacing w:after="70" w:line="270"/>
        <w:jc w:val="both"/>
      </w:pPr>
      <w:r>
        <w:t xml:space="preserve">Annexe 7 – Annexe de divulgation (disclosure schedule).</w:t>
      </w:r>
    </w:p>
    <w:p>
      <w:pPr>
        <w:pBdr>
          <w:top w:val="single" w:color="C00000" w:sz="4" w:space="6"/>
        </w:pBdr>
        <w:spacing w:before="300"/>
      </w:pPr>
      <w:r>
        <w:rPr>
          <w:b/>
          <w:bCs/>
          <w:color w:val="C00000"/>
          <w:sz w:val="18"/>
          <w:szCs w:val="18"/>
        </w:rPr>
        <w:t xml:space="preserve">Note de rédaction (à supprimer avant diffusion) : </w:t>
      </w:r>
      <w:r>
        <w:rPr>
          <w:i/>
          <w:iCs/>
          <w:color w:val="C00000"/>
          <w:sz w:val="18"/>
          <w:szCs w:val="18"/>
        </w:rPr>
        <w:t xml:space="preserve">modèle équilibré. Vérifier la cohérence des chiffres avec le Term Sheet, le pacte et les Statuts. Arbitrer le périmètre de la garantie (seuil, franchise, plafond, durée) selon le rapport de force. À relire et adapter par un avocat avant signature.</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4"/>
      </w:pBdr>
      <w:jc w:val="center"/>
    </w:pPr>
    <w:r>
      <w:rPr>
        <w:color w:val="808080"/>
        <w:sz w:val="15"/>
        <w:szCs w:val="15"/>
      </w:rPr>
      <w:t xml:space="preserve">Page </w:t>
    </w:r>
    <w:r>
      <w:rPr>
        <w:color w:val="808080"/>
        <w:sz w:val="15"/>
        <w:szCs w:val="15"/>
      </w:rPr>
      <w:fldChar w:fldCharType="begin"/>
      <w:instrText xml:space="preserve">PAGE</w:instrText>
      <w:fldChar w:fldCharType="separate"/>
      <w:fldChar w:fldCharType="end"/>
    </w:r>
    <w:r>
      <w:rPr>
        <w:color w:val="808080"/>
        <w:sz w:val="15"/>
        <w:szCs w:val="15"/>
      </w:rPr>
      <w:t xml:space="preserve"> /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6"/>
      </w:tabs>
    </w:pPr>
    <w:r>
      <w:rPr>
        <w:b/>
        <w:bCs/>
        <w:color w:val="1F3864"/>
        <w:sz w:val="16"/>
        <w:szCs w:val="16"/>
      </w:rPr>
      <w:t xml:space="preserve">CONFIDENTIEL</w:t>
    </w:r>
    <w:r>
      <w:rPr>
        <w:color w:val="808080"/>
        <w:sz w:val="16"/>
        <w:szCs w:val="16"/>
      </w:rPr>
      <w:t xml:space="preserve">	Convention de souscription – </w:t>
    </w:r>
    <w:r>
      <w:rPr>
        <w:b/>
        <w:bCs/>
        <w:color w:val="C00000"/>
        <w:sz w:val="16"/>
        <w:szCs w:val="16"/>
      </w:rPr>
      <w:t xml:space="preserve">[NOM DE LA SOCIÉTÉ]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F3864"/>
      <w:sz w:val="25"/>
      <w:szCs w:val="25"/>
    </w:rPr>
  </w:style>
  <w:style w:type="paragraph" w:styleId="Heading2">
    <w:name w:val="Heading 2"/>
    <w:basedOn w:val="Normal"/>
    <w:next w:val="Normal"/>
    <w:qFormat/>
    <w:pPr>
      <w:spacing w:after="100" w:before="200"/>
      <w:outlineLvl w:val="1"/>
    </w:pPr>
    <w:rPr>
      <w:rFonts w:ascii="Arial" w:cs="Arial" w:eastAsia="Arial" w:hAnsi="Arial"/>
      <w:b/>
      <w:bCs/>
      <w:color w:val="2E4A7A"/>
      <w:sz w:val="22"/>
      <w:szCs w:val="22"/>
    </w:rPr>
  </w:style>
  <w:style w:type="paragraph" w:styleId="Heading3">
    <w:name w:val="Heading 3"/>
    <w:basedOn w:val="Normal"/>
    <w:next w:val="Normal"/>
    <w:qFormat/>
    <w:pPr>
      <w:spacing w:after="60" w:before="120"/>
      <w:outlineLvl w:val="2"/>
    </w:pPr>
    <w:rPr>
      <w:rFonts w:ascii="Arial" w:cs="Arial" w:eastAsia="Arial" w:hAnsi="Arial"/>
      <w:b/>
      <w:bCs/>
      <w:i/>
      <w:iCs/>
      <w:color w:val="555555"/>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souscription d'actions</dc:title>
  <dc:creator>Convention de souscription d'actions</dc:creator>
  <cp:lastModifiedBy>Un-named</cp:lastModifiedBy>
  <cp:revision>1</cp:revision>
  <dcterms:created xsi:type="dcterms:W3CDTF">2026-06-10T20:57:33.362Z</dcterms:created>
  <dcterms:modified xsi:type="dcterms:W3CDTF">2026-06-10T20:57:33.363Z</dcterms:modified>
</cp:coreProperties>
</file>

<file path=docProps/custom.xml><?xml version="1.0" encoding="utf-8"?>
<Properties xmlns="http://schemas.openxmlformats.org/officeDocument/2006/custom-properties" xmlns:vt="http://schemas.openxmlformats.org/officeDocument/2006/docPropsVTypes"/>
</file>