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b/>
          <w:bCs/>
          <w:color w:val="1F3864"/>
          <w:sz w:val="48"/>
          <w:szCs w:val="48"/>
        </w:rPr>
        <w:t xml:space="preserve">PACTE D’ACTIONNAIRES</w:t>
      </w:r>
    </w:p>
    <w:p>
      <w:pPr>
        <w:spacing w:after="1000"/>
        <w:jc w:val="center"/>
      </w:pPr>
      <w:r>
        <w:rPr>
          <w:i/>
          <w:iCs/>
          <w:color w:val="555555"/>
          <w:sz w:val="24"/>
          <w:szCs w:val="24"/>
        </w:rPr>
        <w:t xml:space="preserve">(Pacte extrastatutaire entre les associés de la Société)</w:t>
      </w:r>
    </w:p>
    <w:p>
      <w:pPr>
        <w:spacing w:after="40"/>
        <w:jc w:val="center"/>
      </w:pPr>
      <w:r>
        <w:rPr>
          <w:sz w:val="22"/>
          <w:szCs w:val="22"/>
        </w:rPr>
        <w:t xml:space="preserve">relatif à la société</w:t>
      </w:r>
    </w:p>
    <w:p>
      <w:pPr>
        <w:spacing w:after="1200"/>
        <w:jc w:val="center"/>
      </w:pPr>
      <w:r>
        <w:rPr>
          <w:b/>
          <w:bCs/>
          <w:color w:val="C00000"/>
          <w:sz w:val="30"/>
          <w:szCs w:val="30"/>
        </w:rPr>
        <w:t xml:space="preserve">[DÉNOMINATION DE LA SOCIÉTÉ] – SAS</w:t>
      </w:r>
    </w:p>
    <w:p>
      <w:pPr>
        <w:spacing w:after="40"/>
        <w:jc w:val="center"/>
      </w:pPr>
      <w:r>
        <w:rPr>
          <w:color w:val="555555"/>
          <w:sz w:val="20"/>
          <w:szCs w:val="20"/>
        </w:rPr>
        <w:t xml:space="preserve">Entre les Fondateurs, les Investisseurs et la Société</w:t>
      </w:r>
    </w:p>
    <w:p>
      <w:pPr>
        <w:jc w:val="center"/>
      </w:pPr>
      <w:r>
        <w:rPr>
          <w:b/>
          <w:bCs/>
          <w:color w:val="C00000"/>
          <w:sz w:val="20"/>
          <w:szCs w:val="20"/>
        </w:rPr>
        <w:t xml:space="preserve">En date du [•]</w:t>
      </w:r>
    </w:p>
    <w:p>
      <w:r>
        <w:br w:type="page"/>
      </w:r>
    </w:p>
    <w:p>
      <w:pPr>
        <w:spacing w:after="160"/>
      </w:pPr>
      <w:r>
        <w:rPr>
          <w:b/>
          <w:bCs/>
          <w:color w:val="1F3864"/>
          <w:sz w:val="26"/>
          <w:szCs w:val="26"/>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Entre les soussignés</w:t>
      </w:r>
    </w:p>
    <w:p>
      <w:pPr>
        <w:spacing w:after="120" w:line="276"/>
        <w:jc w:val="both"/>
      </w:pPr>
      <w:r>
        <w:rPr>
          <w:b/>
          <w:bCs/>
        </w:rPr>
        <w:t xml:space="preserve">1. </w:t>
      </w:r>
      <w:r>
        <w:rPr>
          <w:b/>
          <w:bCs/>
          <w:color w:val="C00000"/>
        </w:rPr>
        <w:t xml:space="preserve">[NOM PRÉNOM]</w:t>
      </w:r>
      <w:r>
        <w:t xml:space="preserve">, né(e) le </w:t>
      </w:r>
      <w:r>
        <w:rPr>
          <w:b/>
          <w:bCs/>
          <w:color w:val="C00000"/>
        </w:rPr>
        <w:t xml:space="preserve">[•]</w:t>
      </w:r>
      <w:r>
        <w:t xml:space="preserve"> à </w:t>
      </w:r>
      <w:r>
        <w:rPr>
          <w:b/>
          <w:bCs/>
          <w:color w:val="C00000"/>
        </w:rPr>
        <w:t xml:space="preserve">[•]</w:t>
      </w:r>
      <w:r>
        <w:t xml:space="preserve">, demeurant </w:t>
      </w:r>
      <w:r>
        <w:rPr>
          <w:b/>
          <w:bCs/>
          <w:color w:val="C00000"/>
        </w:rPr>
        <w:t xml:space="preserve">[ADRESSE]</w:t>
      </w:r>
      <w:r>
        <w:t xml:space="preserve">, de nationalité </w:t>
      </w:r>
      <w:r>
        <w:rPr>
          <w:b/>
          <w:bCs/>
          <w:color w:val="C00000"/>
        </w:rPr>
        <w:t xml:space="preserve">[•]</w:t>
      </w:r>
      <w:r>
        <w:t xml:space="preserve">,</w:t>
      </w:r>
    </w:p>
    <w:p>
      <w:pPr>
        <w:spacing w:after="120" w:line="276"/>
        <w:jc w:val="both"/>
      </w:pPr>
      <w:r>
        <w:t xml:space="preserve">ci-après dénommé(s) ensemble les « </w:t>
      </w:r>
      <w:r>
        <w:rPr>
          <w:b/>
          <w:bCs/>
        </w:rPr>
        <w:t xml:space="preserve">Fondateurs</w:t>
      </w:r>
      <w:r>
        <w:t xml:space="preserve"> » et individuellement un « </w:t>
      </w:r>
      <w:r>
        <w:rPr>
          <w:b/>
          <w:bCs/>
        </w:rPr>
        <w:t xml:space="preserve">Fondateur</w:t>
      </w:r>
      <w:r>
        <w:t xml:space="preserve"> »,</w:t>
      </w:r>
    </w:p>
    <w:p>
      <w:pPr>
        <w:spacing w:after="120" w:line="276"/>
        <w:jc w:val="both"/>
      </w:pPr>
      <w:r>
        <w:rPr>
          <w:b/>
          <w:bCs/>
        </w:rPr>
        <w:t xml:space="preserve">D’une première part,</w:t>
      </w:r>
    </w:p>
    <w:p>
      <w:pPr>
        <w:spacing w:after="120" w:line="276"/>
        <w:jc w:val="both"/>
      </w:pPr>
      <w:r>
        <w:rPr>
          <w:b/>
          <w:bCs/>
        </w:rPr>
        <w:t xml:space="preserve">2. </w:t>
      </w:r>
      <w:r>
        <w:rPr>
          <w:b/>
          <w:bCs/>
          <w:color w:val="C00000"/>
        </w:rPr>
        <w:t xml:space="preserve">[IDENTITÉ DES INVESTISSEURS]</w:t>
      </w:r>
      <w:r>
        <w:t xml:space="preserve"> tels que listés en Annexe 1,</w:t>
      </w:r>
    </w:p>
    <w:p>
      <w:pPr>
        <w:spacing w:after="120" w:line="276"/>
        <w:jc w:val="both"/>
      </w:pPr>
      <w:r>
        <w:t xml:space="preserve">ci-après dénommés ensemble les « </w:t>
      </w:r>
      <w:r>
        <w:rPr>
          <w:b/>
          <w:bCs/>
        </w:rPr>
        <w:t xml:space="preserve">Investisseurs</w:t>
      </w:r>
      <w:r>
        <w:t xml:space="preserve"> » et individuellement un « </w:t>
      </w:r>
      <w:r>
        <w:rPr>
          <w:b/>
          <w:bCs/>
        </w:rPr>
        <w:t xml:space="preserve">Investisseur</w:t>
      </w:r>
      <w:r>
        <w:t xml:space="preserve"> »,</w:t>
      </w:r>
    </w:p>
    <w:p>
      <w:pPr>
        <w:spacing w:after="120" w:line="276"/>
        <w:jc w:val="both"/>
      </w:pPr>
      <w:r>
        <w:rPr>
          <w:b/>
          <w:bCs/>
        </w:rPr>
        <w:t xml:space="preserve">D’une deuxième part,</w:t>
      </w:r>
    </w:p>
    <w:p>
      <w:pPr>
        <w:spacing w:after="120" w:line="276"/>
        <w:jc w:val="both"/>
      </w:pPr>
      <w:r>
        <w:rPr>
          <w:b/>
          <w:bCs/>
        </w:rPr>
        <w:t xml:space="preserve">3. </w:t>
      </w:r>
      <w:r>
        <w:t xml:space="preserve">La société </w:t>
      </w:r>
      <w:r>
        <w:rPr>
          <w:b/>
          <w:bCs/>
          <w:color w:val="C00000"/>
        </w:rPr>
        <w:t xml:space="preserve">[DÉNOMINATION]</w:t>
      </w:r>
      <w:r>
        <w:t xml:space="preserve">, SAS au capital de </w:t>
      </w:r>
      <w:r>
        <w:rPr>
          <w:b/>
          <w:bCs/>
          <w:color w:val="C00000"/>
        </w:rPr>
        <w:t xml:space="preserve">[•] €</w:t>
      </w:r>
      <w:r>
        <w:t xml:space="preserve">, dont le siège social est sis </w:t>
      </w:r>
      <w:r>
        <w:rPr>
          <w:b/>
          <w:bCs/>
          <w:color w:val="C00000"/>
        </w:rPr>
        <w:t xml:space="preserve">[ADRESSE]</w:t>
      </w:r>
      <w:r>
        <w:t xml:space="preserve">, immatriculée au RCS de </w:t>
      </w:r>
      <w:r>
        <w:rPr>
          <w:b/>
          <w:bCs/>
          <w:color w:val="C00000"/>
        </w:rPr>
        <w:t xml:space="preserve">[VILLE]</w:t>
      </w:r>
      <w:r>
        <w:t xml:space="preserve"> sous le numéro </w:t>
      </w:r>
      <w:r>
        <w:rPr>
          <w:b/>
          <w:bCs/>
          <w:color w:val="C00000"/>
        </w:rPr>
        <w:t xml:space="preserve">[•]</w:t>
      </w:r>
      <w:r>
        <w:t xml:space="preserve">, représentée par son Président,</w:t>
      </w:r>
    </w:p>
    <w:p>
      <w:pPr>
        <w:spacing w:after="120" w:line="276"/>
        <w:jc w:val="both"/>
      </w:pPr>
      <w:r>
        <w:t xml:space="preserve">ci-après dénommée la « </w:t>
      </w:r>
      <w:r>
        <w:rPr>
          <w:b/>
          <w:bCs/>
        </w:rPr>
        <w:t xml:space="preserve">Société</w:t>
      </w:r>
      <w:r>
        <w:t xml:space="preserve"> », intervenant aux présentes pour les seuls besoins des stipulations qui la concernent,</w:t>
      </w:r>
    </w:p>
    <w:p>
      <w:pPr>
        <w:spacing w:after="120" w:line="276"/>
        <w:jc w:val="both"/>
      </w:pPr>
      <w:r>
        <w:rPr>
          <w:b/>
          <w:bCs/>
        </w:rPr>
        <w:t xml:space="preserve">D’une troisième part,</w:t>
      </w:r>
    </w:p>
    <w:p>
      <w:pPr>
        <w:spacing w:after="120" w:line="276"/>
        <w:jc w:val="both"/>
      </w:pPr>
      <w:r>
        <w:t xml:space="preserve">Les Fondateurs, les Investisseurs et la Société étant ci-après dénommés ensemble les « Parties » et individuellement une « Partie ». Les Fondateurs et les Investisseurs sont ci-après dénommés ensemble les « Associés ».</w:t>
      </w:r>
    </w:p>
    <w:p>
      <w:pPr>
        <w:pStyle w:val="Heading1"/>
      </w:pPr>
      <w:r>
        <w:t xml:space="preserve">Il a été préalablement exposé ce qui suit</w:t>
      </w:r>
    </w:p>
    <w:p>
      <w:pPr>
        <w:pStyle w:val="ListParagraph"/>
        <w:numPr>
          <w:ilvl w:val="0"/>
          <w:numId w:val="2"/>
        </w:numPr>
        <w:spacing w:after="70" w:line="270"/>
        <w:jc w:val="both"/>
      </w:pPr>
      <w:r>
        <w:t xml:space="preserve">La Société a pour activité [•]. Son capital est, à la date des présentes, réparti conformément à la table de capitalisation figurant en Annexe 2.</w:t>
      </w:r>
    </w:p>
    <w:p>
      <w:pPr>
        <w:pStyle w:val="ListParagraph"/>
        <w:numPr>
          <w:ilvl w:val="0"/>
          <w:numId w:val="2"/>
        </w:numPr>
        <w:spacing w:after="70" w:line="270"/>
        <w:jc w:val="both"/>
      </w:pPr>
      <w:r>
        <w:t xml:space="preserve">Les Investisseurs ont accepté d’investir dans la Société par voie de souscription à une augmentation de capital, aux conditions visées dans la documentation d’investissement, sous condition de la conclusion du présent pacte.</w:t>
      </w:r>
    </w:p>
    <w:p>
      <w:pPr>
        <w:pStyle w:val="ListParagraph"/>
        <w:numPr>
          <w:ilvl w:val="0"/>
          <w:numId w:val="2"/>
        </w:numPr>
        <w:spacing w:after="70" w:line="270"/>
        <w:jc w:val="both"/>
      </w:pPr>
      <w:r>
        <w:t xml:space="preserve">Les Parties souhaitent organiser leurs relations en qualité d’associés, fixer les règles de gouvernance de la Société et définir les conditions de transfert de leurs Titres.</w:t>
      </w:r>
    </w:p>
    <w:p>
      <w:pPr>
        <w:spacing w:after="120" w:line="276"/>
        <w:jc w:val="both"/>
      </w:pPr>
      <w:r>
        <w:rPr>
          <w:b/>
          <w:bCs/>
        </w:rPr>
        <w:t xml:space="preserve">Ceci exposé, il a été convenu ce qui suit.</w:t>
      </w:r>
    </w:p>
    <w:p>
      <w:pPr>
        <w:pStyle w:val="Heading1"/>
      </w:pPr>
      <w:r>
        <w:t xml:space="preserve">Article 1 – Définitions</w:t>
      </w:r>
    </w:p>
    <w:p>
      <w:pPr>
        <w:spacing w:after="120" w:line="276"/>
        <w:jc w:val="both"/>
      </w:pPr>
      <w:r>
        <w:t xml:space="preserve">Les termes ci-après, employés avec une majuscule, ont la signification suivante :</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500"/>
        <w:gridCol w:w="6806"/>
      </w:tblGrid>
      <w:tr>
        <w:tc>
          <w:tcPr>
            <w:tcW w:type="dxa" w:w="2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top"/>
          </w:tcPr>
          <w:p>
            <w:r>
              <w:rPr>
                <w:b/>
                <w:bCs/>
              </w:rPr>
              <w:t xml:space="preserve">Titres</w:t>
            </w:r>
          </w:p>
        </w:tc>
        <w:tc>
          <w:tcPr>
            <w:tcW w:type="dxa" w:w="6806"/>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both"/>
            </w:pPr>
            <w:r>
              <w:t xml:space="preserve">Toutes valeurs mobilières émises ou à émettre par la Société, donnant ou pouvant donner accès, immédiatement ou à terme, à une quotité du capital ou des droits de vote (actions ordinaires, actions de préférence, BSA, BSPCE, obligations convertibles, etc.).</w:t>
            </w:r>
          </w:p>
        </w:tc>
      </w:tr>
      <w:tr>
        <w:tc>
          <w:tcPr>
            <w:tcW w:type="dxa" w:w="2500"/>
            <w:tcBorders>
              <w:top w:val="single" w:color="BBBBBB" w:sz="1"/>
              <w:left w:val="single" w:color="BBBBBB" w:sz="1"/>
              <w:bottom w:val="single" w:color="BBBBBB" w:sz="1"/>
              <w:right w:val="single" w:color="BBBBBB" w:sz="1"/>
            </w:tcBorders>
            <w:shd w:fill="EDF1F7" w:val="clear"/>
            <w:tcMar>
              <w:top w:type="dxa" w:w="70"/>
              <w:left w:type="dxa" w:w="110"/>
              <w:bottom w:type="dxa" w:w="70"/>
              <w:right w:type="dxa" w:w="110"/>
            </w:tcMar>
            <w:vAlign w:val="top"/>
          </w:tcPr>
          <w:p>
            <w:r>
              <w:rPr>
                <w:b/>
                <w:bCs/>
              </w:rPr>
              <w:t xml:space="preserve">Transfert</w:t>
            </w:r>
          </w:p>
        </w:tc>
        <w:tc>
          <w:tcPr>
            <w:tcW w:type="dxa" w:w="6806"/>
            <w:tcBorders>
              <w:top w:val="single" w:color="BBBBBB" w:sz="1"/>
              <w:left w:val="single" w:color="BBBBBB" w:sz="1"/>
              <w:bottom w:val="single" w:color="BBBBBB" w:sz="1"/>
              <w:right w:val="single" w:color="BBBBBB" w:sz="1"/>
            </w:tcBorders>
            <w:shd w:fill="EDF1F7" w:val="clear"/>
            <w:tcMar>
              <w:top w:type="dxa" w:w="70"/>
              <w:left w:type="dxa" w:w="110"/>
              <w:bottom w:type="dxa" w:w="70"/>
              <w:right w:type="dxa" w:w="110"/>
            </w:tcMar>
          </w:tcPr>
          <w:p>
            <w:pPr>
              <w:jc w:val="both"/>
            </w:pPr>
            <w:r>
              <w:t xml:space="preserve">Toute opération, à titre onéreux ou gratuit, emportant transfert de propriété ou démembrement de Titres (cession, apport, fusion, donation, nantissement réalisé, transmission universelle, etc.), y compris la promesse en emportant l’effet.</w:t>
            </w:r>
          </w:p>
        </w:tc>
      </w:tr>
      <w:tr>
        <w:tc>
          <w:tcPr>
            <w:tcW w:type="dxa" w:w="2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top"/>
          </w:tcPr>
          <w:p>
            <w:r>
              <w:rPr>
                <w:b/>
                <w:bCs/>
              </w:rPr>
              <w:t xml:space="preserve">Cession de Contrôle</w:t>
            </w:r>
          </w:p>
        </w:tc>
        <w:tc>
          <w:tcPr>
            <w:tcW w:type="dxa" w:w="6806"/>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both"/>
            </w:pPr>
            <w:r>
              <w:t xml:space="preserve">Toute opération ayant pour effet de conférer à un tiers, agissant seul ou de concert, le contrôle de la Société au sens de l’article L.233-3 du Code de commerce.</w:t>
            </w:r>
          </w:p>
        </w:tc>
      </w:tr>
      <w:tr>
        <w:tc>
          <w:tcPr>
            <w:tcW w:type="dxa" w:w="2500"/>
            <w:tcBorders>
              <w:top w:val="single" w:color="BBBBBB" w:sz="1"/>
              <w:left w:val="single" w:color="BBBBBB" w:sz="1"/>
              <w:bottom w:val="single" w:color="BBBBBB" w:sz="1"/>
              <w:right w:val="single" w:color="BBBBBB" w:sz="1"/>
            </w:tcBorders>
            <w:shd w:fill="EDF1F7" w:val="clear"/>
            <w:tcMar>
              <w:top w:type="dxa" w:w="70"/>
              <w:left w:type="dxa" w:w="110"/>
              <w:bottom w:type="dxa" w:w="70"/>
              <w:right w:type="dxa" w:w="110"/>
            </w:tcMar>
            <w:vAlign w:val="top"/>
          </w:tcPr>
          <w:p>
            <w:r>
              <w:rPr>
                <w:b/>
                <w:bCs/>
              </w:rPr>
              <w:t xml:space="preserve">Liquidité</w:t>
            </w:r>
          </w:p>
        </w:tc>
        <w:tc>
          <w:tcPr>
            <w:tcW w:type="dxa" w:w="6806"/>
            <w:tcBorders>
              <w:top w:val="single" w:color="BBBBBB" w:sz="1"/>
              <w:left w:val="single" w:color="BBBBBB" w:sz="1"/>
              <w:bottom w:val="single" w:color="BBBBBB" w:sz="1"/>
              <w:right w:val="single" w:color="BBBBBB" w:sz="1"/>
            </w:tcBorders>
            <w:shd w:fill="EDF1F7" w:val="clear"/>
            <w:tcMar>
              <w:top w:type="dxa" w:w="70"/>
              <w:left w:type="dxa" w:w="110"/>
              <w:bottom w:type="dxa" w:w="70"/>
              <w:right w:type="dxa" w:w="110"/>
            </w:tcMar>
          </w:tcPr>
          <w:p>
            <w:pPr>
              <w:jc w:val="both"/>
            </w:pPr>
            <w:r>
              <w:t xml:space="preserve">Toute Cession de Contrôle, cession de la totalité ou de la quasi-totalité des actifs, fusion, ou admission des Titres aux négociations sur un marché réglementé (introduction en bourse).</w:t>
            </w:r>
          </w:p>
        </w:tc>
      </w:tr>
      <w:tr>
        <w:tc>
          <w:tcPr>
            <w:tcW w:type="dxa" w:w="2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top"/>
          </w:tcPr>
          <w:p>
            <w:r>
              <w:rPr>
                <w:b/>
                <w:bCs/>
              </w:rPr>
              <w:t xml:space="preserve">Pourcentage de Détention</w:t>
            </w:r>
          </w:p>
        </w:tc>
        <w:tc>
          <w:tcPr>
            <w:tcW w:type="dxa" w:w="6806"/>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both"/>
            </w:pPr>
            <w:r>
              <w:t xml:space="preserve">Pour un Associé, le rapport entre le nombre de Titres qu’il détient et le nombre total de Titres en circulation, sur une base pleinement diluée.</w:t>
            </w:r>
          </w:p>
        </w:tc>
      </w:tr>
      <w:tr>
        <w:tc>
          <w:tcPr>
            <w:tcW w:type="dxa" w:w="2500"/>
            <w:tcBorders>
              <w:top w:val="single" w:color="BBBBBB" w:sz="1"/>
              <w:left w:val="single" w:color="BBBBBB" w:sz="1"/>
              <w:bottom w:val="single" w:color="BBBBBB" w:sz="1"/>
              <w:right w:val="single" w:color="BBBBBB" w:sz="1"/>
            </w:tcBorders>
            <w:shd w:fill="EDF1F7" w:val="clear"/>
            <w:tcMar>
              <w:top w:type="dxa" w:w="70"/>
              <w:left w:type="dxa" w:w="110"/>
              <w:bottom w:type="dxa" w:w="70"/>
              <w:right w:type="dxa" w:w="110"/>
            </w:tcMar>
            <w:vAlign w:val="top"/>
          </w:tcPr>
          <w:p>
            <w:r>
              <w:rPr>
                <w:b/>
                <w:bCs/>
              </w:rPr>
              <w:t xml:space="preserve">Tiers</w:t>
            </w:r>
          </w:p>
        </w:tc>
        <w:tc>
          <w:tcPr>
            <w:tcW w:type="dxa" w:w="6806"/>
            <w:tcBorders>
              <w:top w:val="single" w:color="BBBBBB" w:sz="1"/>
              <w:left w:val="single" w:color="BBBBBB" w:sz="1"/>
              <w:bottom w:val="single" w:color="BBBBBB" w:sz="1"/>
              <w:right w:val="single" w:color="BBBBBB" w:sz="1"/>
            </w:tcBorders>
            <w:shd w:fill="EDF1F7" w:val="clear"/>
            <w:tcMar>
              <w:top w:type="dxa" w:w="70"/>
              <w:left w:type="dxa" w:w="110"/>
              <w:bottom w:type="dxa" w:w="70"/>
              <w:right w:type="dxa" w:w="110"/>
            </w:tcMar>
          </w:tcPr>
          <w:p>
            <w:pPr>
              <w:jc w:val="both"/>
            </w:pPr>
            <w:r>
              <w:t xml:space="preserve">Toute personne autre qu’une Partie au présent pacte.</w:t>
            </w:r>
          </w:p>
        </w:tc>
      </w:tr>
      <w:tr>
        <w:tc>
          <w:tcPr>
            <w:tcW w:type="dxa" w:w="2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top"/>
          </w:tcPr>
          <w:p>
            <w:r>
              <w:rPr>
                <w:b/>
                <w:bCs/>
              </w:rPr>
              <w:t xml:space="preserve">Statuts</w:t>
            </w:r>
          </w:p>
        </w:tc>
        <w:tc>
          <w:tcPr>
            <w:tcW w:type="dxa" w:w="6806"/>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both"/>
            </w:pPr>
            <w:r>
              <w:t xml:space="preserve">Les statuts de la Société en vigueur, tels que modifiés le cas échéant.</w:t>
            </w:r>
          </w:p>
        </w:tc>
      </w:tr>
    </w:tbl>
    <w:p>
      <w:pPr>
        <w:pStyle w:val="Heading1"/>
      </w:pPr>
      <w:r>
        <w:t xml:space="preserve">Titre I – Gouvernance de la Société</w:t>
      </w:r>
    </w:p>
    <w:p>
      <w:pPr>
        <w:pStyle w:val="Heading2"/>
      </w:pPr>
      <w:r>
        <w:t xml:space="preserve">Article 2 – Direction de la Société</w:t>
      </w:r>
    </w:p>
    <w:p>
      <w:pPr>
        <w:spacing w:after="120" w:line="276"/>
        <w:jc w:val="both"/>
      </w:pPr>
      <w:r>
        <w:t xml:space="preserve">La Société est dirigée par un Président, [le cas échéant assisté d’un ou plusieurs Directeurs Généraux], nommé(s) et révoqué(s) dans les conditions prévues par les Statuts. Les Parties conviennent qu’à la date des présentes, la présidence est assurée par [•].</w:t>
      </w:r>
    </w:p>
    <w:p>
      <w:pPr>
        <w:pStyle w:val="Heading2"/>
      </w:pPr>
      <w:r>
        <w:t xml:space="preserve">Article 3 – Comité stratégique</w:t>
      </w:r>
    </w:p>
    <w:p>
      <w:pPr>
        <w:pStyle w:val="Heading3"/>
      </w:pPr>
      <w:r>
        <w:t xml:space="preserve">3.1 Composition</w:t>
      </w:r>
    </w:p>
    <w:p>
      <w:pPr>
        <w:spacing w:after="120" w:line="276"/>
        <w:jc w:val="both"/>
      </w:pPr>
      <w:r>
        <w:t xml:space="preserve">Il est institué un comité stratégique (le « Comité ») composé de </w:t>
      </w:r>
      <w:r>
        <w:rPr>
          <w:b/>
          <w:bCs/>
          <w:color w:val="C00000"/>
        </w:rPr>
        <w:t xml:space="preserve">[•]</w:t>
      </w:r>
      <w:r>
        <w:t xml:space="preserve"> membres, comprenant : [•] membre(s) désigné(s) par les Fondateurs, et [un] membre désigné par les Investisseurs (l’« Administrateur Investisseur »). Les Investisseurs disposent en outre du droit de désigner un censeur (« </w:t>
      </w:r>
      <w:r>
        <w:rPr>
          <w:i/>
          <w:iCs/>
        </w:rPr>
        <w:t xml:space="preserve">board observer</w:t>
      </w:r>
      <w:r>
        <w:t xml:space="preserve"> ») assistant aux réunions sans voix délibérative.</w:t>
      </w:r>
    </w:p>
    <w:p>
      <w:pPr>
        <w:pStyle w:val="Heading3"/>
      </w:pPr>
      <w:r>
        <w:t xml:space="preserve">3.2 Réunions et attributions</w:t>
      </w:r>
    </w:p>
    <w:p>
      <w:pPr>
        <w:spacing w:after="120" w:line="276"/>
        <w:jc w:val="both"/>
      </w:pPr>
      <w:r>
        <w:t xml:space="preserve">Le Comité se réunit au moins [une fois par trimestre]. Il est consulté sur la stratégie, le budget et les orientations de la Société, et autorise préalablement les Décisions Importantes visées à l’Article 4. Les décisions sont prises à la majorité [simple] de ses membres présents ou représentés, [incluant le vote favorable de l’Administrateur Investisseur pour les Décisions Importantes].</w:t>
      </w:r>
    </w:p>
    <w:p>
      <w:pPr>
        <w:pStyle w:val="Heading2"/>
      </w:pPr>
      <w:r>
        <w:t xml:space="preserve">Article 4 – Décisions Importantes (droits de véto)</w:t>
      </w:r>
    </w:p>
    <w:p>
      <w:pPr>
        <w:spacing w:after="120" w:line="276"/>
        <w:jc w:val="both"/>
      </w:pPr>
      <w:r>
        <w:t xml:space="preserve">Les décisions suivantes (les « Décisions Importantes ») ne pourront être adoptées sans l’accord préalable [du Comité incluant l’Administrateur Investisseur / des Investisseurs représentant au moins [•] % des Titres qu’ils détiennent] :</w:t>
      </w:r>
    </w:p>
    <w:p>
      <w:pPr>
        <w:pStyle w:val="ListParagraph"/>
        <w:numPr>
          <w:ilvl w:val="0"/>
          <w:numId w:val="2"/>
        </w:numPr>
        <w:spacing w:after="70" w:line="270"/>
        <w:jc w:val="both"/>
      </w:pPr>
      <w:r>
        <w:t xml:space="preserve">toute modification des Statuts ou des droits attachés à une catégorie de Titres ;</w:t>
      </w:r>
    </w:p>
    <w:p>
      <w:pPr>
        <w:pStyle w:val="ListParagraph"/>
        <w:numPr>
          <w:ilvl w:val="0"/>
          <w:numId w:val="2"/>
        </w:numPr>
        <w:spacing w:after="70" w:line="270"/>
        <w:jc w:val="both"/>
      </w:pPr>
      <w:r>
        <w:t xml:space="preserve">toute émission, rachat ou annulation de Titres, et toute opération sur le capital ;</w:t>
      </w:r>
    </w:p>
    <w:p>
      <w:pPr>
        <w:pStyle w:val="ListParagraph"/>
        <w:numPr>
          <w:ilvl w:val="0"/>
          <w:numId w:val="2"/>
        </w:numPr>
        <w:spacing w:after="70" w:line="270"/>
        <w:jc w:val="both"/>
      </w:pPr>
      <w:r>
        <w:t xml:space="preserve">toute distribution de dividendes, réserves ou primes ;</w:t>
      </w:r>
    </w:p>
    <w:p>
      <w:pPr>
        <w:pStyle w:val="ListParagraph"/>
        <w:numPr>
          <w:ilvl w:val="0"/>
          <w:numId w:val="2"/>
        </w:numPr>
        <w:spacing w:after="70" w:line="270"/>
        <w:jc w:val="both"/>
      </w:pPr>
      <w:r>
        <w:t xml:space="preserve">toute opération de fusion, scission, apport, dissolution ou Cession de Contrôle ;</w:t>
      </w:r>
    </w:p>
    <w:p>
      <w:pPr>
        <w:pStyle w:val="ListParagraph"/>
        <w:numPr>
          <w:ilvl w:val="0"/>
          <w:numId w:val="2"/>
        </w:numPr>
        <w:spacing w:after="70" w:line="270"/>
        <w:jc w:val="both"/>
      </w:pPr>
      <w:r>
        <w:t xml:space="preserve">toute cession ou acquisition d’actifs stratégiques ou de fonds de commerce d’un montant supérieur à [•] € ;</w:t>
      </w:r>
    </w:p>
    <w:p>
      <w:pPr>
        <w:pStyle w:val="ListParagraph"/>
        <w:numPr>
          <w:ilvl w:val="0"/>
          <w:numId w:val="2"/>
        </w:numPr>
        <w:spacing w:after="70" w:line="270"/>
        <w:jc w:val="both"/>
      </w:pPr>
      <w:r>
        <w:t xml:space="preserve">tout endettement, octroi de sûreté ou engagement hors bilan excédant [•] € ;</w:t>
      </w:r>
    </w:p>
    <w:p>
      <w:pPr>
        <w:pStyle w:val="ListParagraph"/>
        <w:numPr>
          <w:ilvl w:val="0"/>
          <w:numId w:val="2"/>
        </w:numPr>
        <w:spacing w:after="70" w:line="270"/>
        <w:jc w:val="both"/>
      </w:pPr>
      <w:r>
        <w:t xml:space="preserve">toute modification significative de l’activité ou du plan d’affaires ;</w:t>
      </w:r>
    </w:p>
    <w:p>
      <w:pPr>
        <w:pStyle w:val="ListParagraph"/>
        <w:numPr>
          <w:ilvl w:val="0"/>
          <w:numId w:val="2"/>
        </w:numPr>
        <w:spacing w:after="70" w:line="270"/>
        <w:jc w:val="both"/>
      </w:pPr>
      <w:r>
        <w:t xml:space="preserve">tout recrutement, révocation ou modification de la rémunération d’un mandataire social ou d’un salarié dont la rémunération annuelle excède [•] € ;</w:t>
      </w:r>
    </w:p>
    <w:p>
      <w:pPr>
        <w:pStyle w:val="ListParagraph"/>
        <w:numPr>
          <w:ilvl w:val="0"/>
          <w:numId w:val="2"/>
        </w:numPr>
        <w:spacing w:after="70" w:line="270"/>
        <w:jc w:val="both"/>
      </w:pPr>
      <w:r>
        <w:t xml:space="preserve">toute convention conclue avec un Associé, un dirigeant ou une personne liée (convention réglementée) ;</w:t>
      </w:r>
    </w:p>
    <w:p>
      <w:pPr>
        <w:pStyle w:val="ListParagraph"/>
        <w:numPr>
          <w:ilvl w:val="0"/>
          <w:numId w:val="2"/>
        </w:numPr>
        <w:spacing w:after="70" w:line="270"/>
        <w:jc w:val="both"/>
      </w:pPr>
      <w:r>
        <w:t xml:space="preserve">tout engagement, transaction ou contentieux d’un montant supérieur à [•] € ;</w:t>
      </w:r>
    </w:p>
    <w:p>
      <w:pPr>
        <w:pStyle w:val="ListParagraph"/>
        <w:numPr>
          <w:ilvl w:val="0"/>
          <w:numId w:val="2"/>
        </w:numPr>
        <w:spacing w:after="70" w:line="270"/>
        <w:jc w:val="both"/>
      </w:pPr>
      <w:r>
        <w:t xml:space="preserve">l’approbation et toute modification du budget annuel.</w:t>
      </w:r>
    </w:p>
    <w:p>
      <w:pPr>
        <w:pStyle w:val="Heading2"/>
      </w:pPr>
      <w:r>
        <w:t xml:space="preserve">Article 5 – Information des Investisseurs</w:t>
      </w:r>
    </w:p>
    <w:p>
      <w:pPr>
        <w:spacing w:after="120" w:line="276"/>
        <w:jc w:val="both"/>
      </w:pPr>
      <w:r>
        <w:t xml:space="preserve">La Société s’engage à communiquer aux Investisseurs :</w:t>
      </w:r>
    </w:p>
    <w:p>
      <w:pPr>
        <w:pStyle w:val="ListParagraph"/>
        <w:numPr>
          <w:ilvl w:val="0"/>
          <w:numId w:val="2"/>
        </w:numPr>
        <w:spacing w:after="70" w:line="270"/>
        <w:jc w:val="both"/>
      </w:pPr>
      <w:r>
        <w:t xml:space="preserve">dans les [30] jours de la fin de chaque trimestre : une situation comptable, un état de trésorerie et les principaux indicateurs de performance (KPIs) ;</w:t>
      </w:r>
    </w:p>
    <w:p>
      <w:pPr>
        <w:pStyle w:val="ListParagraph"/>
        <w:numPr>
          <w:ilvl w:val="0"/>
          <w:numId w:val="2"/>
        </w:numPr>
        <w:spacing w:after="70" w:line="270"/>
        <w:jc w:val="both"/>
      </w:pPr>
      <w:r>
        <w:t xml:space="preserve">dans les [30] jours précédant chaque exercice : le budget prévisionnel ;</w:t>
      </w:r>
    </w:p>
    <w:p>
      <w:pPr>
        <w:pStyle w:val="ListParagraph"/>
        <w:numPr>
          <w:ilvl w:val="0"/>
          <w:numId w:val="2"/>
        </w:numPr>
        <w:spacing w:after="70" w:line="270"/>
        <w:jc w:val="both"/>
      </w:pPr>
      <w:r>
        <w:t xml:space="preserve">dans les [120] jours de la clôture : les comptes annuels et, le cas échéant, le rapport du commissaire aux comptes ;</w:t>
      </w:r>
    </w:p>
    <w:p>
      <w:pPr>
        <w:pStyle w:val="ListParagraph"/>
        <w:numPr>
          <w:ilvl w:val="0"/>
          <w:numId w:val="2"/>
        </w:numPr>
        <w:spacing w:after="70" w:line="270"/>
        <w:jc w:val="both"/>
      </w:pPr>
      <w:r>
        <w:t xml:space="preserve">sans délai : tout événement significatif affectant la situation de la Société.</w:t>
      </w:r>
    </w:p>
    <w:p>
      <w:pPr>
        <w:spacing w:after="120" w:line="276"/>
        <w:jc w:val="both"/>
      </w:pPr>
      <w:r>
        <w:t xml:space="preserve">Les Investisseurs bénéficient en outre d’un droit d’information et, sous réserve d’un préavis raisonnable, d’un droit d’accès aux documents sociaux.</w:t>
      </w:r>
    </w:p>
    <w:p>
      <w:pPr>
        <w:pStyle w:val="Heading1"/>
      </w:pPr>
      <w:r>
        <w:t xml:space="preserve">Titre II – Transfert des Titres</w:t>
      </w:r>
    </w:p>
    <w:p>
      <w:pPr>
        <w:pStyle w:val="Heading2"/>
      </w:pPr>
      <w:r>
        <w:t xml:space="preserve">Article 6 – Principes généraux</w:t>
      </w:r>
    </w:p>
    <w:p>
      <w:pPr>
        <w:spacing w:after="120" w:line="276"/>
        <w:jc w:val="both"/>
      </w:pPr>
      <w:r>
        <w:t xml:space="preserve">Tout Transfert de Titres est soumis au respect des stipulations du présent Titre. Tout Transfert réalisé en violation des présentes sera inopposable à la Société et aux Parties, et ne pourra être inscrit dans les comptes d’associés. Préalablement à tout Transfert au profit d’un Tiers, le cessionnaire devra adhérer sans réserve au présent pacte par acte d’adhésion (Annexe 3).</w:t>
      </w:r>
    </w:p>
    <w:p>
      <w:pPr>
        <w:pStyle w:val="Heading2"/>
      </w:pPr>
      <w:r>
        <w:t xml:space="preserve">Article 7 – Inaliénabilité (lock-up)</w:t>
      </w:r>
    </w:p>
    <w:p>
      <w:pPr>
        <w:spacing w:after="120" w:line="276"/>
        <w:jc w:val="both"/>
      </w:pPr>
      <w:r>
        <w:t xml:space="preserve">Les Fondateurs s’engagent à conserver l’intégralité de leurs Titres pendant une durée de </w:t>
      </w:r>
      <w:r>
        <w:rPr>
          <w:b/>
          <w:bCs/>
          <w:color w:val="C00000"/>
        </w:rPr>
        <w:t xml:space="preserve">[•] années</w:t>
      </w:r>
      <w:r>
        <w:t xml:space="preserve"> à compter de la date des présentes (la « Période d’Inaliénabilité »), sauf accord préalable écrit des Investisseurs ou Transfert Libre au sens de l’Article 8.</w:t>
      </w:r>
    </w:p>
    <w:p>
      <w:pPr>
        <w:pStyle w:val="Heading2"/>
      </w:pPr>
      <w:r>
        <w:t xml:space="preserve">Article 8 – Transferts Libres</w:t>
      </w:r>
    </w:p>
    <w:p>
      <w:pPr>
        <w:spacing w:after="120" w:line="276"/>
        <w:jc w:val="both"/>
      </w:pPr>
      <w:r>
        <w:t xml:space="preserve">Par exception, ne sont pas soumis aux Articles 7, 9 et 10 (mais demeurent soumis à l’obligation d’adhésion de l’Article 6) les Transferts suivants (les « Transferts Libres ») :</w:t>
      </w:r>
    </w:p>
    <w:p>
      <w:pPr>
        <w:pStyle w:val="ListParagraph"/>
        <w:numPr>
          <w:ilvl w:val="0"/>
          <w:numId w:val="2"/>
        </w:numPr>
        <w:spacing w:after="70" w:line="270"/>
        <w:jc w:val="both"/>
      </w:pPr>
      <w:r>
        <w:t xml:space="preserve">pour un Investisseur personne morale : le Transfert au profit d’une entité qu’il contrôle, qui le contrôle ou qui est sous contrôle commun (affilié), sous réserve que le cessionnaire demeure affilié ;</w:t>
      </w:r>
    </w:p>
    <w:p>
      <w:pPr>
        <w:pStyle w:val="ListParagraph"/>
        <w:numPr>
          <w:ilvl w:val="0"/>
          <w:numId w:val="2"/>
        </w:numPr>
        <w:spacing w:after="70" w:line="270"/>
        <w:jc w:val="both"/>
      </w:pPr>
      <w:r>
        <w:t xml:space="preserve">[le cas échéant, pour un Fondateur : le Transfert à une holding patrimoniale qu’il contrôle à 100 %.]</w:t>
      </w:r>
    </w:p>
    <w:p>
      <w:pPr>
        <w:pStyle w:val="Heading2"/>
      </w:pPr>
      <w:r>
        <w:t xml:space="preserve">Article 9 – Droit de préemption</w:t>
      </w:r>
    </w:p>
    <w:p>
      <w:pPr>
        <w:pStyle w:val="Heading3"/>
      </w:pPr>
      <w:r>
        <w:t xml:space="preserve">9.1 Principe</w:t>
      </w:r>
    </w:p>
    <w:p>
      <w:pPr>
        <w:spacing w:after="120" w:line="276"/>
        <w:jc w:val="both"/>
      </w:pPr>
      <w:r>
        <w:t xml:space="preserve">À l’expiration de la Période d’Inaliénabilité, tout projet de Transfert de Titres par un Associé (le « Cédant ») au profit d’un Tiers confère aux autres Associés (les « Bénéficiaires ») un droit de préemption portant sur la totalité des Titres concernés.</w:t>
      </w:r>
    </w:p>
    <w:p>
      <w:pPr>
        <w:pStyle w:val="Heading3"/>
      </w:pPr>
      <w:r>
        <w:t xml:space="preserve">9.2 Notification et exercice</w:t>
      </w:r>
    </w:p>
    <w:p>
      <w:pPr>
        <w:spacing w:after="120" w:line="276"/>
        <w:jc w:val="both"/>
      </w:pPr>
      <w:r>
        <w:t xml:space="preserve">Le Cédant notifie aux Bénéficiaires et à la Société (la « Notification de Transfert ») l’identité du cessionnaire pressenti, le nombre de Titres, le prix et les conditions du Transfert. Les Bénéficiaires disposent d’un délai de [trente (30)] jours pour notifier l’exercice de leur droit, au prix et conditions notifiés. À défaut, ils sont réputés y avoir renoncé.</w:t>
      </w:r>
    </w:p>
    <w:p>
      <w:pPr>
        <w:pStyle w:val="Heading3"/>
      </w:pPr>
      <w:r>
        <w:t xml:space="preserve">9.3 Répartition et règle du tout ou rien</w:t>
      </w:r>
    </w:p>
    <w:p>
      <w:pPr>
        <w:spacing w:after="120" w:line="276"/>
        <w:jc w:val="both"/>
      </w:pPr>
      <w:r>
        <w:t xml:space="preserve">Les Titres préemptés sont répartis entre les Bénéficiaires ayant exercé leur droit au prorata de leur Pourcentage de Détention respectif. Le droit de préemption ne peut être exercé que s’il porte sur la totalité des Titres offerts. À défaut d’exercice portant sur la totalité, le Cédant pourra réaliser le Transfert au profit du cessionnaire pressenti, dans un délai de [60] jours, aux conditions notifiées, sous réserve des Articles 10 et 11.</w:t>
      </w:r>
    </w:p>
    <w:p>
      <w:pPr>
        <w:pStyle w:val="Heading2"/>
      </w:pPr>
      <w:r>
        <w:t xml:space="preserve">Article 10 – Droit de sortie conjointe (tag-along)</w:t>
      </w:r>
    </w:p>
    <w:p>
      <w:pPr>
        <w:pStyle w:val="Heading3"/>
      </w:pPr>
      <w:r>
        <w:t xml:space="preserve">10.1 Sortie conjointe proportionnelle</w:t>
      </w:r>
    </w:p>
    <w:p>
      <w:pPr>
        <w:spacing w:after="120" w:line="276"/>
        <w:jc w:val="both"/>
      </w:pPr>
      <w:r>
        <w:t xml:space="preserve">En cas de projet de Transfert par un Fondateur à un Tiers non préempté, chaque Investisseur pourra exiger que le cessionnaire acquière également ses Titres, aux mêmes prix et conditions, à hauteur d’une quote-part proportionnelle au nombre de Titres cédés rapporté au total détenu par le Fondateur cédant. L’Investisseur exerce ce droit dans le délai de [30] jours de la Notification de Transfert.</w:t>
      </w:r>
    </w:p>
    <w:p>
      <w:pPr>
        <w:pStyle w:val="Heading3"/>
      </w:pPr>
      <w:r>
        <w:t xml:space="preserve">10.2 Sortie conjointe totale (full tag) en cas de Cession de Contrôle</w:t>
      </w:r>
    </w:p>
    <w:p>
      <w:pPr>
        <w:spacing w:after="120" w:line="276"/>
        <w:jc w:val="both"/>
      </w:pPr>
      <w:r>
        <w:t xml:space="preserve">En cas de Transfert emportant Cession de Contrôle, chaque Investisseur pourra exiger le rachat de la totalité de ses Titres par le cessionnaire, aux mêmes prix et conditions, par priorité sur les Titres du ou des Fondateurs cédants. Le Transfert ne pourra être réalisé que si le cessionnaire acquiert l’intégralité des Titres dont la sortie conjointe est demandée.</w:t>
      </w:r>
    </w:p>
    <w:p>
      <w:pPr>
        <w:pStyle w:val="Heading2"/>
      </w:pPr>
      <w:r>
        <w:t xml:space="preserve">Article 11 – Obligation de sortie forcée (drag-along)</w:t>
      </w:r>
    </w:p>
    <w:p>
      <w:pPr>
        <w:spacing w:after="120" w:line="276"/>
        <w:jc w:val="both"/>
      </w:pPr>
      <w:r>
        <w:t xml:space="preserve">Dans l’hypothèse où un ou plusieurs Associés représentant au moins </w:t>
      </w:r>
      <w:r>
        <w:rPr>
          <w:b/>
          <w:bCs/>
          <w:color w:val="C00000"/>
        </w:rPr>
        <w:t xml:space="preserve">[•] %</w:t>
      </w:r>
      <w:r>
        <w:t xml:space="preserve"> des Titres, incluant </w:t>
      </w:r>
      <w:r>
        <w:rPr>
          <w:b/>
          <w:bCs/>
          <w:color w:val="C00000"/>
        </w:rPr>
        <w:t xml:space="preserve">[•] %</w:t>
      </w:r>
      <w:r>
        <w:t xml:space="preserve"> des Titres détenus par les Investisseurs (les « Associés Initiateurs »), recevraient d’un Tiers de bonne foi une offre ferme portant sur 100 % des Titres de la Société, et décideraient de l’accepter, les autres Associés seront tenus de céder la totalité de leurs Titres au Tiers, aux mêmes prix et conditions.</w:t>
      </w:r>
    </w:p>
    <w:p>
      <w:pPr>
        <w:spacing w:after="120" w:line="276"/>
        <w:jc w:val="both"/>
      </w:pPr>
      <w:r>
        <w:t xml:space="preserve">Le prix revenant à chaque Associé sera déterminé conformément à l’ordre de répartition résultant de la préférence de liquidation stipulée dans les Statuts. Les Associés Initiateurs notifient la mise en œuvre du drag-along aux autres Associés, qui sont tenus de signer tout acte nécessaire dans le délai de [15] jours ; à défaut, le Président est irrévocablement mandaté pour signer en leurs lieu et place.</w:t>
      </w:r>
    </w:p>
    <w:p>
      <w:pPr>
        <w:pStyle w:val="Heading2"/>
      </w:pPr>
      <w:r>
        <w:t xml:space="preserve">Article 12 – Droit de souscription préférentiel (pro rata / anti-dilution)</w:t>
      </w:r>
    </w:p>
    <w:p>
      <w:pPr>
        <w:spacing w:after="120" w:line="276"/>
        <w:jc w:val="both"/>
      </w:pPr>
      <w:r>
        <w:t xml:space="preserve">En cas d’émission de Titres nouveaux, chaque Investisseur bénéficiera d’un droit prioritaire de souscription lui permettant de maintenir son Pourcentage de Détention (« droit de pro rata »), sans préjudice du mécanisme d’ajustement anti-dilution attaché aux actions de préférence prévu par les Statuts (moyenne pondérée à base large, le « full ratchet » étant écarté).</w:t>
      </w:r>
    </w:p>
    <w:p>
      <w:pPr>
        <w:pStyle w:val="Heading1"/>
      </w:pPr>
      <w:r>
        <w:t xml:space="preserve">Titre III – Engagements des Fondateurs</w:t>
      </w:r>
    </w:p>
    <w:p>
      <w:pPr>
        <w:pStyle w:val="Heading2"/>
      </w:pPr>
      <w:r>
        <w:t xml:space="preserve">Article 13 – Exclusivité et implication</w:t>
      </w:r>
    </w:p>
    <w:p>
      <w:pPr>
        <w:spacing w:after="120" w:line="276"/>
        <w:jc w:val="both"/>
      </w:pPr>
      <w:r>
        <w:t xml:space="preserve">Chaque Fondateur s’engage à consacrer l’intégralité de son temps professionnel et de ses compétences à la Société, et à ne pas exercer d’autre activité professionnelle sans l’accord préalable des Investisseurs, pendant toute la durée de ses fonctions.</w:t>
      </w:r>
    </w:p>
    <w:p>
      <w:pPr>
        <w:pStyle w:val="Heading2"/>
      </w:pPr>
      <w:r>
        <w:t xml:space="preserve">Article 14 – Non-concurrence et non-sollicitation</w:t>
      </w:r>
    </w:p>
    <w:p>
      <w:pPr>
        <w:spacing w:after="120" w:line="276"/>
        <w:jc w:val="both"/>
      </w:pPr>
      <w:r>
        <w:t xml:space="preserve">Pendant la durée de ses fonctions et pendant [12 / 24] mois suivant la cessation de celles-ci, chaque Fondateur s’interdit, directement ou indirectement, d’exercer ou de s’intéresser à une activité concurrente de celle de la Société sur le territoire [•], et de solliciter les salariés, clients ou fournisseurs de la Société. [Le cas échéant : cette obligation post-contractuelle fera l’objet d’une contrepartie financière si la qualification de salarié est retenue.]</w:t>
      </w:r>
    </w:p>
    <w:p>
      <w:pPr>
        <w:pStyle w:val="Heading2"/>
      </w:pPr>
      <w:r>
        <w:t xml:space="preserve">Article 15 – Vesting et promesses de cession (good / bad leaver)</w:t>
      </w:r>
    </w:p>
    <w:p>
      <w:pPr>
        <w:pStyle w:val="Heading3"/>
      </w:pPr>
      <w:r>
        <w:t xml:space="preserve">15.1 Acquisition progressive (vesting)</w:t>
      </w:r>
    </w:p>
    <w:p>
      <w:pPr>
        <w:spacing w:after="120" w:line="276"/>
        <w:jc w:val="both"/>
      </w:pPr>
      <w:r>
        <w:t xml:space="preserve">Les Titres détenus par chaque Fondateur sont soumis à un mécanisme d’acquisition progressive sur une période de [quatre (4)] ans, avec une période de carence (« cliff ») de [douze (12)] mois à l’issue de laquelle [25] % des Titres sont définitivement acquis, le solde étant acquis par fractions [trimestrielles] égales. Les Titres acquis à la date de départ sont les « Titres Acquis » ; les autres, les « Titres Non Acquis ».</w:t>
      </w:r>
    </w:p>
    <w:p>
      <w:pPr>
        <w:pStyle w:val="Heading3"/>
      </w:pPr>
      <w:r>
        <w:t xml:space="preserve">15.2 Définitions du départ</w:t>
      </w:r>
    </w:p>
    <w:p>
      <w:pPr>
        <w:spacing w:after="120" w:line="276"/>
        <w:jc w:val="both"/>
      </w:pPr>
      <w:r>
        <w:rPr>
          <w:b/>
          <w:bCs/>
        </w:rPr>
        <w:t xml:space="preserve">Bad Leaver</w:t>
      </w:r>
      <w:r>
        <w:t xml:space="preserve"> : cessation des fonctions du Fondateur résultant (i) d’une révocation pour faute grave ou lourde, (ii) d’une démission avant le terme de la Période d’Inaliénabilité, ou (iii) d’un manquement grave au présent pacte.</w:t>
      </w:r>
    </w:p>
    <w:p>
      <w:pPr>
        <w:spacing w:after="120" w:line="276"/>
        <w:jc w:val="both"/>
      </w:pPr>
      <w:r>
        <w:rPr>
          <w:b/>
          <w:bCs/>
        </w:rPr>
        <w:t xml:space="preserve">Good Leaver</w:t>
      </w:r>
      <w:r>
        <w:t xml:space="preserve"> : toute autre cause de cessation des fonctions (notamment décès, invalidité, révocation sans faute grave).</w:t>
      </w:r>
    </w:p>
    <w:p>
      <w:pPr>
        <w:pStyle w:val="Heading3"/>
      </w:pPr>
      <w:r>
        <w:t xml:space="preserve">15.3 Promesses de cession</w:t>
      </w:r>
    </w:p>
    <w:p>
      <w:pPr>
        <w:spacing w:after="120" w:line="276"/>
        <w:jc w:val="both"/>
      </w:pPr>
      <w:r>
        <w:t xml:space="preserve">Chaque Fondateur consent par les présentes une promesse unilatérale de vente portant sur ses Titres, exerçable par la Société ou les Investisseurs (ou toute personne qu’ils se substitueront) en cas de cessation de ses fonctions, dans les conditions suivantes :</w:t>
      </w:r>
    </w:p>
    <w:p>
      <w:pPr>
        <w:pStyle w:val="ListParagraph"/>
        <w:numPr>
          <w:ilvl w:val="0"/>
          <w:numId w:val="2"/>
        </w:numPr>
        <w:spacing w:after="70" w:line="270"/>
        <w:jc w:val="both"/>
      </w:pPr>
      <w:r>
        <w:rPr>
          <w:b/>
          <w:bCs/>
        </w:rPr>
        <w:t xml:space="preserve">Bad Leaver : </w:t>
      </w:r>
      <w:r>
        <w:t xml:space="preserve">rachat de la totalité des Titres (Acquis et Non Acquis) au plus faible de la valeur nominale ou de la valeur de marché [pour les Titres Non Acquis] ; [décote applicable aux Titres Acquis] ;</w:t>
      </w:r>
    </w:p>
    <w:p>
      <w:pPr>
        <w:pStyle w:val="ListParagraph"/>
        <w:numPr>
          <w:ilvl w:val="0"/>
          <w:numId w:val="2"/>
        </w:numPr>
        <w:spacing w:after="70" w:line="270"/>
        <w:jc w:val="both"/>
      </w:pPr>
      <w:r>
        <w:rPr>
          <w:b/>
          <w:bCs/>
        </w:rPr>
        <w:t xml:space="preserve">Good Leaver : </w:t>
      </w:r>
      <w:r>
        <w:t xml:space="preserve">rachat des seuls Titres Non Acquis à la valeur nominale (ou à leur prix de souscription) ; les Titres Acquis sont conservés ou rachetés à la valeur de marché.</w:t>
      </w:r>
    </w:p>
    <w:p>
      <w:pPr>
        <w:spacing w:after="120" w:line="276"/>
        <w:jc w:val="both"/>
      </w:pPr>
      <w:r>
        <w:t xml:space="preserve">La valeur de marché est, à défaut d’accord, déterminée par un expert désigné dans les conditions de l’article 1843-4 du Code civil.</w:t>
      </w:r>
    </w:p>
    <w:p>
      <w:pPr>
        <w:pStyle w:val="Heading2"/>
      </w:pPr>
      <w:r>
        <w:t xml:space="preserve">Article 16 – Propriété intellectuelle</w:t>
      </w:r>
    </w:p>
    <w:p>
      <w:pPr>
        <w:spacing w:after="120" w:line="276"/>
        <w:jc w:val="both"/>
      </w:pPr>
      <w:r>
        <w:t xml:space="preserve">Chaque Fondateur garantit que l’intégralité des droits de propriété intellectuelle utiles à l’activité a été ou sera valablement transférée à la Société, libre de tout droit de Tiers, et s’engage à régitérer tout acte nécessaire à cet effet.</w:t>
      </w:r>
    </w:p>
    <w:p>
      <w:pPr>
        <w:pStyle w:val="Heading1"/>
      </w:pPr>
      <w:r>
        <w:t xml:space="preserve">Titre IV – Liquidité et sortie</w:t>
      </w:r>
    </w:p>
    <w:p>
      <w:pPr>
        <w:pStyle w:val="Heading2"/>
      </w:pPr>
      <w:r>
        <w:t xml:space="preserve">Article 17 – Organisation de la liquidité</w:t>
      </w:r>
    </w:p>
    <w:p>
      <w:pPr>
        <w:spacing w:after="120" w:line="276"/>
        <w:jc w:val="both"/>
      </w:pPr>
      <w:r>
        <w:t xml:space="preserve">Les Parties s’engagent à rechercher de bonne foi une Liquidité au bénéfice des Investisseurs dans un délai indicatif de [5 à 7] ans. À défaut de Liquidité à l’expiration de ce délai, les Parties se concerteront de bonne foi sur les modalités d’une sortie (mandat de cession, recherche d’acquéreur), étant précisé que la présente clause n’emporte aucune obligation de rachat à la charge de la Société ou des Fondateurs.</w:t>
      </w:r>
    </w:p>
    <w:p>
      <w:pPr>
        <w:pStyle w:val="Heading2"/>
      </w:pPr>
      <w:r>
        <w:t xml:space="preserve">Article 18 – Répartition du prix (waterfall)</w:t>
      </w:r>
    </w:p>
    <w:p>
      <w:pPr>
        <w:spacing w:after="120" w:line="276"/>
        <w:jc w:val="both"/>
      </w:pPr>
      <w:r>
        <w:t xml:space="preserve">En cas de Liquidité, le produit revenant aux Associés sera réparti conformément à l’ordre de priorité résultant de la préférence de liquidation attachée aux actions de préférence, telle que stipulée dans les Statuts (préférence 1x non participative avec rattrapage).</w:t>
      </w:r>
    </w:p>
    <w:p>
      <w:pPr>
        <w:pStyle w:val="Heading1"/>
      </w:pPr>
      <w:r>
        <w:t xml:space="preserve">Titre V – Stipulations diverses</w:t>
      </w:r>
    </w:p>
    <w:p>
      <w:pPr>
        <w:pStyle w:val="Heading2"/>
      </w:pPr>
      <w:r>
        <w:t xml:space="preserve">Article 19 – Durée</w:t>
      </w:r>
    </w:p>
    <w:p>
      <w:pPr>
        <w:spacing w:after="120" w:line="276"/>
        <w:jc w:val="both"/>
      </w:pPr>
      <w:r>
        <w:t xml:space="preserve">Le présent pacte est conclu pour une durée de [dix (10)] ans à compter de sa signature, renouvelable [par tacite reconduction par périodes de [•] / par accord exprès]. Il prendra fin de plein droit à l’égard d’un Associé ayant transféré la totalité de ses Titres dans le respect des présentes, et à l’égard de toutes les Parties en cas d’introduction en bourse [ou de détention de la totalité des Titres par une seule Partie].</w:t>
      </w:r>
    </w:p>
    <w:p>
      <w:pPr>
        <w:pStyle w:val="Heading2"/>
      </w:pPr>
      <w:r>
        <w:t xml:space="preserve">Article 20 – Exécution forcée et sanctions</w:t>
      </w:r>
    </w:p>
    <w:p>
      <w:pPr>
        <w:spacing w:after="120" w:line="276"/>
        <w:jc w:val="both"/>
      </w:pPr>
      <w:r>
        <w:t xml:space="preserve">Les Parties reconnaissent que les engagements souscrits constituent des obligations de faire ou de ne pas faire dont l’exécution en nature peut être demandée en justice (article 1221 du Code civil). Tout Transfert réalisé en violation des présentes sera nul et inopposable. Pour garantir l’effectivité du pacte, [un dispositif de séquestre / d’agrément statutaire / d’inscription de la clause dans les Statuts] est mis en place.</w:t>
      </w:r>
    </w:p>
    <w:p>
      <w:pPr>
        <w:pStyle w:val="Heading2"/>
      </w:pPr>
      <w:r>
        <w:t xml:space="preserve">Article 21 – Articulation avec les Statuts</w:t>
      </w:r>
    </w:p>
    <w:p>
      <w:pPr>
        <w:spacing w:after="120" w:line="276"/>
        <w:jc w:val="both"/>
      </w:pPr>
      <w:r>
        <w:t xml:space="preserve">En cas de contradiction entre le présent pacte et les Statuts, le pacte prévaudra dans les rapports entre les Parties, qui s’engagent à mettre les Statuts en conformité ; les Statuts demeurant seuls opposables aux Tiers.</w:t>
      </w:r>
    </w:p>
    <w:p>
      <w:pPr>
        <w:pStyle w:val="Heading2"/>
      </w:pPr>
      <w:r>
        <w:t xml:space="preserve">Article 22 – Confidentialité</w:t>
      </w:r>
    </w:p>
    <w:p>
      <w:pPr>
        <w:spacing w:after="120" w:line="276"/>
        <w:jc w:val="both"/>
      </w:pPr>
      <w:r>
        <w:t xml:space="preserve">Chaque Partie s’engage à maintenir confidentiels le contenu du présent pacte et les informations relatives à la Société, pendant la durée du pacte et [deux (2)] ans après son expiration, sauf obligation légale, judiciaire ou réglementaire.</w:t>
      </w:r>
    </w:p>
    <w:p>
      <w:pPr>
        <w:pStyle w:val="Heading2"/>
      </w:pPr>
      <w:r>
        <w:t xml:space="preserve">Article 23 – Notifications</w:t>
      </w:r>
    </w:p>
    <w:p>
      <w:pPr>
        <w:spacing w:after="120" w:line="276"/>
        <w:jc w:val="both"/>
      </w:pPr>
      <w:r>
        <w:t xml:space="preserve">Toute notification au titre des présentes sera valablement effectuée par lettre recommandée avec accusé de réception ou par voie électronique avec accusé de réception, aux adresses figurant en Annexe 1 (ou à toute autre adresse notifiée ultérieurement).</w:t>
      </w:r>
    </w:p>
    <w:p>
      <w:pPr>
        <w:pStyle w:val="Heading2"/>
      </w:pPr>
      <w:r>
        <w:t xml:space="preserve">Article 24 – Stipulations générales</w:t>
      </w:r>
    </w:p>
    <w:p>
      <w:pPr>
        <w:pStyle w:val="ListParagraph"/>
        <w:numPr>
          <w:ilvl w:val="0"/>
          <w:numId w:val="2"/>
        </w:numPr>
        <w:spacing w:after="70" w:line="270"/>
        <w:jc w:val="both"/>
      </w:pPr>
      <w:r>
        <w:t xml:space="preserve">Intégralité : le pacte exprime l’intégralité de l’accord des Parties sur son objet et annule tout accord antérieur de même objet.</w:t>
      </w:r>
    </w:p>
    <w:p>
      <w:pPr>
        <w:pStyle w:val="ListParagraph"/>
        <w:numPr>
          <w:ilvl w:val="0"/>
          <w:numId w:val="2"/>
        </w:numPr>
        <w:spacing w:after="70" w:line="270"/>
        <w:jc w:val="both"/>
      </w:pPr>
      <w:r>
        <w:t xml:space="preserve">Nullité partielle : la nullité d’une stipulation n’affecte pas la validité des autres.</w:t>
      </w:r>
    </w:p>
    <w:p>
      <w:pPr>
        <w:pStyle w:val="ListParagraph"/>
        <w:numPr>
          <w:ilvl w:val="0"/>
          <w:numId w:val="2"/>
        </w:numPr>
        <w:spacing w:after="70" w:line="270"/>
        <w:jc w:val="both"/>
      </w:pPr>
      <w:r>
        <w:t xml:space="preserve">Tolérance : le fait de ne pas se prévaloir d’un droit ne vaut pas renonciation.</w:t>
      </w:r>
    </w:p>
    <w:p>
      <w:pPr>
        <w:pStyle w:val="ListParagraph"/>
        <w:numPr>
          <w:ilvl w:val="0"/>
          <w:numId w:val="2"/>
        </w:numPr>
        <w:spacing w:after="70" w:line="270"/>
        <w:jc w:val="both"/>
      </w:pPr>
      <w:r>
        <w:t xml:space="preserve">Modification : toute modification requiert un avenant écrit signé de toutes les Parties.</w:t>
      </w:r>
    </w:p>
    <w:p>
      <w:pPr>
        <w:pStyle w:val="Heading2"/>
      </w:pPr>
      <w:r>
        <w:t xml:space="preserve">Article 25 – Droit applicable et attribution de juridiction</w:t>
      </w:r>
    </w:p>
    <w:p>
      <w:pPr>
        <w:spacing w:after="120" w:line="276"/>
        <w:jc w:val="both"/>
      </w:pPr>
      <w:r>
        <w:t xml:space="preserve">Le présent pacte est régi par le droit français. Tout différend relatif à sa validité, son interprétation ou son exécution sera soumis, à défaut de règlement amiable dans un délai de [30] jours, [à la compétence exclusive du Tribunal de commerce de Paris / à l’arbitrage conformément au règlement [•]].</w:t>
      </w:r>
    </w:p>
    <w:p>
      <w:r>
        <w:br w:type="page"/>
      </w:r>
    </w:p>
    <w:p>
      <w:pPr>
        <w:pStyle w:val="Heading1"/>
      </w:pPr>
      <w:r>
        <w:t xml:space="preserve">Signatures</w:t>
      </w:r>
    </w:p>
    <w:p>
      <w:pPr>
        <w:spacing w:after="120" w:line="276"/>
        <w:jc w:val="both"/>
      </w:pPr>
      <w:r>
        <w:t xml:space="preserve">Fait à [•], le [•], en autant d’exemplaires originaux que de Parties, [ainsi que par voie de signature électronique conformément au règlement eIDAS].</w:t>
      </w:r>
    </w:p>
    <w:p>
      <w:pPr>
        <w:spacing w:after="360" w:before="400"/>
      </w:pPr>
      <w:r>
        <w:rPr>
          <w:b/>
          <w:bCs/>
        </w:rPr>
        <w:t xml:space="preserve">Pour le(s) Fondateur(s) :</w:t>
      </w:r>
    </w:p>
    <w:p>
      <w:r>
        <w:rPr>
          <w:color w:val="888888"/>
        </w:rPr>
        <w:t xml:space="preserve">_______________________________</w:t>
      </w:r>
    </w:p>
    <w:p>
      <w:pPr>
        <w:spacing w:after="120"/>
      </w:pPr>
      <w:r>
        <w:rPr>
          <w:color w:val="555555"/>
        </w:rPr>
        <w:t xml:space="preserve">[Nom – qualité]</w:t>
      </w:r>
    </w:p>
    <w:p>
      <w:pPr>
        <w:spacing w:after="360" w:before="400"/>
      </w:pPr>
      <w:r>
        <w:rPr>
          <w:b/>
          <w:bCs/>
        </w:rPr>
        <w:t xml:space="preserve">Pour le(s) Investisseur(s) :</w:t>
      </w:r>
    </w:p>
    <w:p>
      <w:r>
        <w:rPr>
          <w:color w:val="888888"/>
        </w:rPr>
        <w:t xml:space="preserve">_______________________________</w:t>
      </w:r>
    </w:p>
    <w:p>
      <w:pPr>
        <w:spacing w:after="120"/>
      </w:pPr>
      <w:r>
        <w:rPr>
          <w:color w:val="555555"/>
        </w:rPr>
        <w:t xml:space="preserve">[Nom – qualité]</w:t>
      </w:r>
    </w:p>
    <w:p>
      <w:pPr>
        <w:spacing w:after="360" w:before="400"/>
      </w:pPr>
      <w:r>
        <w:rPr>
          <w:b/>
          <w:bCs/>
        </w:rPr>
        <w:t xml:space="preserve">Pour la Société :</w:t>
      </w:r>
    </w:p>
    <w:p>
      <w:r>
        <w:rPr>
          <w:color w:val="888888"/>
        </w:rPr>
        <w:t xml:space="preserve">_______________________________</w:t>
      </w:r>
    </w:p>
    <w:p>
      <w:pPr>
        <w:spacing w:after="120"/>
      </w:pPr>
      <w:r>
        <w:rPr>
          <w:color w:val="555555"/>
        </w:rPr>
        <w:t xml:space="preserve">[Nom – qualité]</w:t>
      </w:r>
    </w:p>
    <w:p>
      <w:r>
        <w:br w:type="page"/>
      </w:r>
    </w:p>
    <w:p>
      <w:pPr>
        <w:pStyle w:val="Heading1"/>
      </w:pPr>
      <w:r>
        <w:t xml:space="preserve">Annexes</w:t>
      </w:r>
    </w:p>
    <w:p>
      <w:pPr>
        <w:pStyle w:val="ListParagraph"/>
        <w:numPr>
          <w:ilvl w:val="0"/>
          <w:numId w:val="2"/>
        </w:numPr>
        <w:spacing w:after="70" w:line="270"/>
        <w:jc w:val="both"/>
      </w:pPr>
      <w:r>
        <w:t xml:space="preserve">Annexe 1 – Identité et coordonnées des Investisseurs.</w:t>
      </w:r>
    </w:p>
    <w:p>
      <w:pPr>
        <w:pStyle w:val="ListParagraph"/>
        <w:numPr>
          <w:ilvl w:val="0"/>
          <w:numId w:val="2"/>
        </w:numPr>
        <w:spacing w:after="70" w:line="270"/>
        <w:jc w:val="both"/>
      </w:pPr>
      <w:r>
        <w:t xml:space="preserve">Annexe 2 – Table de capitalisation à la date des présentes.</w:t>
      </w:r>
    </w:p>
    <w:p>
      <w:pPr>
        <w:pStyle w:val="ListParagraph"/>
        <w:numPr>
          <w:ilvl w:val="0"/>
          <w:numId w:val="2"/>
        </w:numPr>
        <w:spacing w:after="70" w:line="270"/>
        <w:jc w:val="both"/>
      </w:pPr>
      <w:r>
        <w:t xml:space="preserve">Annexe 3 – Modèle d’acte d’adhésion au pacte.</w:t>
      </w:r>
    </w:p>
    <w:p>
      <w:pPr>
        <w:pBdr>
          <w:top w:val="single" w:color="C00000" w:sz="4" w:space="6"/>
        </w:pBdr>
        <w:spacing w:before="300"/>
      </w:pPr>
      <w:r>
        <w:rPr>
          <w:b/>
          <w:bCs/>
          <w:color w:val="C00000"/>
          <w:sz w:val="18"/>
          <w:szCs w:val="18"/>
        </w:rPr>
        <w:t xml:space="preserve">Note de rédaction (à supprimer avant diffusion) : </w:t>
      </w:r>
      <w:r>
        <w:rPr>
          <w:i/>
          <w:iCs/>
          <w:color w:val="C00000"/>
          <w:sz w:val="18"/>
          <w:szCs w:val="18"/>
        </w:rPr>
        <w:t xml:space="preserve">modèle équilibré « VC-standard ». Les mentions en rouge / entre crochets sont des variables ou options à arbitrer. Veiller à la cohérence avec le Term Sheet, les Statuts et les ADP (préférence de liquidation, anti-dilution, pool). Document destiné à être relu et adapté par un avocat avant signature.</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jc w:val="center"/>
    </w:pPr>
    <w:r>
      <w:rPr>
        <w:color w:val="808080"/>
        <w:sz w:val="15"/>
        <w:szCs w:val="15"/>
      </w:rPr>
      <w:t xml:space="preserve">Page </w:t>
    </w:r>
    <w:r>
      <w:rPr>
        <w:color w:val="808080"/>
        <w:sz w:val="15"/>
        <w:szCs w:val="15"/>
      </w:rPr>
      <w:fldChar w:fldCharType="begin"/>
      <w:instrText xml:space="preserve">PAGE</w:instrText>
      <w:fldChar w:fldCharType="separate"/>
      <w:fldChar w:fldCharType="end"/>
    </w:r>
    <w:r>
      <w:rPr>
        <w:color w:val="808080"/>
        <w:sz w:val="15"/>
        <w:szCs w:val="15"/>
      </w:rPr>
      <w:t xml:space="preserve"> / </w:t>
    </w:r>
    <w:r>
      <w:rPr>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tabs>
        <w:tab w:val="right" w:pos="9306"/>
      </w:tabs>
    </w:pPr>
    <w:r>
      <w:rPr>
        <w:b/>
        <w:bCs/>
        <w:color w:val="1F3864"/>
        <w:sz w:val="16"/>
        <w:szCs w:val="16"/>
      </w:rPr>
      <w:t xml:space="preserve">CONFIDENTIEL</w:t>
    </w:r>
    <w:r>
      <w:rPr>
        <w:color w:val="808080"/>
        <w:sz w:val="16"/>
        <w:szCs w:val="16"/>
      </w:rPr>
      <w:t xml:space="preserve">	Pacte d’actionnaires – </w:t>
    </w:r>
    <w:r>
      <w:rPr>
        <w:b/>
        <w:bCs/>
        <w:color w:val="C00000"/>
        <w:sz w:val="16"/>
        <w:szCs w:val="16"/>
      </w:rPr>
      <w:t xml:space="preserve">[NOM DE LA SOCIÉTÉ]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F3864"/>
      <w:sz w:val="25"/>
      <w:szCs w:val="25"/>
    </w:rPr>
  </w:style>
  <w:style w:type="paragraph" w:styleId="Heading2">
    <w:name w:val="Heading 2"/>
    <w:basedOn w:val="Normal"/>
    <w:next w:val="Normal"/>
    <w:qFormat/>
    <w:pPr>
      <w:spacing w:after="100" w:before="200"/>
      <w:outlineLvl w:val="1"/>
    </w:pPr>
    <w:rPr>
      <w:rFonts w:ascii="Arial" w:cs="Arial" w:eastAsia="Arial" w:hAnsi="Arial"/>
      <w:b/>
      <w:bCs/>
      <w:color w:val="2E4A7A"/>
      <w:sz w:val="22"/>
      <w:szCs w:val="22"/>
    </w:rPr>
  </w:style>
  <w:style w:type="paragraph" w:styleId="Heading3">
    <w:name w:val="Heading 3"/>
    <w:basedOn w:val="Normal"/>
    <w:next w:val="Normal"/>
    <w:qFormat/>
    <w:pPr>
      <w:spacing w:after="60" w:before="120"/>
      <w:outlineLvl w:val="2"/>
    </w:pPr>
    <w:rPr>
      <w:rFonts w:ascii="Arial" w:cs="Arial" w:eastAsia="Arial" w:hAnsi="Arial"/>
      <w:b/>
      <w:bCs/>
      <w:i/>
      <w:iCs/>
      <w:color w:val="55555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Pacte d'actionnaires</dc:title>
  <dc:creator>Pacte d'actionnaires</dc:creator>
  <cp:lastModifiedBy>Un-named</cp:lastModifiedBy>
  <cp:revision>1</cp:revision>
  <dcterms:created xsi:type="dcterms:W3CDTF">2026-06-10T20:53:15.444Z</dcterms:created>
  <dcterms:modified xsi:type="dcterms:W3CDTF">2026-06-10T20:53:15.470Z</dcterms:modified>
</cp:coreProperties>
</file>

<file path=docProps/custom.xml><?xml version="1.0" encoding="utf-8"?>
<Properties xmlns="http://schemas.openxmlformats.org/officeDocument/2006/custom-properties" xmlns:vt="http://schemas.openxmlformats.org/officeDocument/2006/docPropsVTypes"/>
</file>